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E97F3B">
      <w:pPr>
        <w:widowControl/>
        <w:jc w:val="center"/>
        <w:rPr>
          <w:rFonts w:ascii="宋体" w:hAnsi="宋体" w:cs="Arial"/>
          <w:b/>
          <w:sz w:val="24"/>
          <w:szCs w:val="28"/>
        </w:rPr>
      </w:pPr>
      <w:bookmarkStart w:id="0" w:name="_GoBack"/>
      <w:bookmarkEnd w:id="0"/>
      <w:r>
        <w:rPr>
          <w:rFonts w:ascii="宋体" w:hAnsi="宋体" w:cs="Arial" w:hint="eastAsia"/>
          <w:b/>
          <w:sz w:val="24"/>
          <w:szCs w:val="28"/>
        </w:rPr>
        <w:t>招银理财招赢日日金100号现金管理类理财计划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E97F3B">
        <w:rPr>
          <w:rFonts w:ascii="宋体" w:hAnsi="宋体" w:cs="Arial" w:hint="eastAsia"/>
          <w:b/>
          <w:sz w:val="24"/>
          <w:szCs w:val="28"/>
        </w:rPr>
        <w:t>8100</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指对管理人（包括本理财计划的理财产品管理人、所投资的信托计划/资管计划</w:t>
      </w:r>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E97F3B">
        <w:rPr>
          <w:rFonts w:asciiTheme="minorEastAsia" w:eastAsiaTheme="minorEastAsia" w:hAnsiTheme="minorEastAsia" w:hint="eastAsia"/>
          <w:bCs/>
          <w:sz w:val="22"/>
          <w:szCs w:val="22"/>
        </w:rPr>
        <w:t>招银理财招赢日日金100号现金管理类理财计划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指根据适用法律和理财计划文件规定，理财计划应缴纳和承担的税收和有权政府部门向理财计划征收的规费。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指投资者因持有理财计划份额，按照销售文件约定取得或有权取得的理财产品管理人分配的理财计划资产。在理财计划对外投资资产正常回收的情况下，该等财产性利益包括初始投资本金及理财计划收益。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：指计算评估理财计划资产以确定理财计划每万份收益和七日年化收益率的过程。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D33D43">
        <w:rPr>
          <w:rFonts w:asciiTheme="minorEastAsia" w:eastAsiaTheme="minorEastAsia" w:hAnsiTheme="minorEastAsia" w:cs="Arial" w:hint="eastAsia"/>
          <w:sz w:val="22"/>
          <w:szCs w:val="22"/>
        </w:rPr>
        <w:t>2055年6月5日</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理财计划存续期间，每个自然日为估值日。招银理财于每个自然日计算理财计划每万份收益和七日年化收益率。招银理财于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该事件妨碍、影响或延误任何一方依相关</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含协议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E97F3B">
            <w:pPr>
              <w:rPr>
                <w:rFonts w:ascii="宋体" w:hAnsi="宋体"/>
                <w:sz w:val="22"/>
                <w:szCs w:val="22"/>
              </w:rPr>
            </w:pPr>
            <w:r>
              <w:rPr>
                <w:rFonts w:ascii="宋体" w:hAnsi="宋体" w:hint="eastAsia"/>
                <w:sz w:val="22"/>
                <w:szCs w:val="22"/>
              </w:rPr>
              <w:t>招银理财招赢日日金100号现金管理类理财计划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8100</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DD6BF5" w:rsidRPr="00DD6BF5">
              <w:rPr>
                <w:rFonts w:asciiTheme="minorEastAsia" w:eastAsiaTheme="minorEastAsia" w:hAnsiTheme="minorEastAsia"/>
                <w:sz w:val="22"/>
                <w:szCs w:val="22"/>
              </w:rPr>
              <w:t>Z7001625000529</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E97F3B">
              <w:rPr>
                <w:rFonts w:ascii="宋体" w:hAnsi="宋体" w:hint="eastAsia"/>
                <w:sz w:val="22"/>
                <w:szCs w:val="22"/>
              </w:rPr>
              <w:t>8100</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E97F3B">
              <w:rPr>
                <w:rFonts w:ascii="宋体" w:hAnsi="宋体" w:cs="宋体" w:hint="eastAsia"/>
                <w:sz w:val="22"/>
              </w:rPr>
              <w:t>100</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份额（销售代码【8100</w:t>
            </w:r>
            <w:r>
              <w:rPr>
                <w:rFonts w:ascii="宋体" w:hAnsi="宋体"/>
                <w:sz w:val="22"/>
                <w:szCs w:val="22"/>
              </w:rPr>
              <w:t>K</w:t>
            </w:r>
            <w:r>
              <w:rPr>
                <w:rFonts w:ascii="宋体" w:hAnsi="宋体" w:hint="eastAsia"/>
                <w:sz w:val="22"/>
                <w:szCs w:val="22"/>
              </w:rPr>
              <w:t>】）：非招商银行投资者</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份额（销售代码【8100</w:t>
            </w:r>
            <w:r>
              <w:rPr>
                <w:rFonts w:ascii="宋体" w:hAnsi="宋体"/>
                <w:sz w:val="22"/>
                <w:szCs w:val="22"/>
              </w:rPr>
              <w:t>N</w:t>
            </w:r>
            <w:r>
              <w:rPr>
                <w:rFonts w:ascii="宋体" w:hAnsi="宋体" w:hint="eastAsia"/>
                <w:sz w:val="22"/>
                <w:szCs w:val="22"/>
              </w:rPr>
              <w:t>】）：非招商银行投资者</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份额（销售代码【8100</w:t>
            </w:r>
            <w:r>
              <w:rPr>
                <w:rFonts w:ascii="宋体" w:hAnsi="宋体"/>
                <w:sz w:val="22"/>
                <w:szCs w:val="22"/>
              </w:rPr>
              <w:t>P</w:t>
            </w:r>
            <w:r>
              <w:rPr>
                <w:rFonts w:ascii="宋体" w:hAnsi="宋体" w:hint="eastAsia"/>
                <w:sz w:val="22"/>
                <w:szCs w:val="22"/>
              </w:rPr>
              <w:t>】）：非招商银行投资者</w:t>
            </w:r>
          </w:p>
          <w:p w:rsidR="007C72AC" w:rsidRPr="007C72AC" w:rsidRDefault="007C72AC" w:rsidP="007C72AC">
            <w:pPr>
              <w:rPr>
                <w:rFonts w:ascii="宋体" w:hAnsi="宋体"/>
                <w:sz w:val="22"/>
                <w:szCs w:val="22"/>
              </w:rPr>
            </w:pPr>
            <w:r>
              <w:rPr>
                <w:rFonts w:ascii="宋体" w:hAnsi="宋体"/>
                <w:sz w:val="22"/>
                <w:szCs w:val="22"/>
              </w:rPr>
              <w:t>RF</w:t>
            </w:r>
            <w:r>
              <w:rPr>
                <w:rFonts w:ascii="宋体" w:hAnsi="宋体" w:hint="eastAsia"/>
                <w:sz w:val="22"/>
                <w:szCs w:val="22"/>
              </w:rPr>
              <w:t>份额（销售代码【8100</w:t>
            </w:r>
            <w:r>
              <w:rPr>
                <w:rFonts w:ascii="宋体" w:hAnsi="宋体"/>
                <w:sz w:val="22"/>
                <w:szCs w:val="22"/>
              </w:rPr>
              <w:t>RF</w:t>
            </w:r>
            <w:r>
              <w:rPr>
                <w:rFonts w:ascii="宋体" w:hAnsi="宋体" w:hint="eastAsia"/>
                <w:sz w:val="22"/>
                <w:szCs w:val="22"/>
              </w:rPr>
              <w:t>】）：非招商银行投资者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份额：发行规模上限100亿元。</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份额：发行规模上限100亿元。</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份额：发行规模上限100亿元。</w:t>
            </w:r>
          </w:p>
          <w:p w:rsidR="007C72AC" w:rsidRPr="007C72AC" w:rsidRDefault="007C72AC">
            <w:pPr>
              <w:rPr>
                <w:rFonts w:ascii="宋体" w:hAnsi="宋体"/>
                <w:sz w:val="22"/>
                <w:szCs w:val="22"/>
              </w:rPr>
            </w:pPr>
            <w:r>
              <w:rPr>
                <w:rFonts w:ascii="宋体" w:hAnsi="宋体"/>
                <w:sz w:val="22"/>
                <w:szCs w:val="22"/>
              </w:rPr>
              <w:t>RF</w:t>
            </w:r>
            <w:r>
              <w:rPr>
                <w:rFonts w:ascii="宋体" w:hAnsi="宋体" w:hint="eastAsia"/>
                <w:sz w:val="22"/>
                <w:szCs w:val="22"/>
              </w:rPr>
              <w:t>份额：发行规模上限100亿元。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Pr="007C72AC" w:rsidRDefault="007C72AC">
            <w:pPr>
              <w:rPr>
                <w:rFonts w:ascii="宋体" w:hAnsi="宋体"/>
                <w:sz w:val="22"/>
                <w:szCs w:val="22"/>
              </w:rPr>
            </w:pPr>
            <w:r>
              <w:rPr>
                <w:rFonts w:ascii="宋体" w:hAnsi="宋体"/>
                <w:sz w:val="22"/>
                <w:szCs w:val="22"/>
              </w:rPr>
              <w:t>RF</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本理财计划K</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本理财计划P</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P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RF</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本理财计划RF</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D33D43">
            <w:pPr>
              <w:rPr>
                <w:rFonts w:ascii="宋体" w:hAnsi="宋体"/>
                <w:sz w:val="22"/>
                <w:szCs w:val="22"/>
              </w:rPr>
            </w:pPr>
            <w:r>
              <w:rPr>
                <w:rFonts w:ascii="宋体" w:hAnsi="宋体" w:hint="eastAsia"/>
                <w:sz w:val="22"/>
                <w:szCs w:val="22"/>
              </w:rPr>
              <w:t>2025年6月3日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2025年6月4日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D33D43">
            <w:pPr>
              <w:rPr>
                <w:rFonts w:ascii="宋体" w:hAnsi="宋体"/>
                <w:sz w:val="22"/>
                <w:szCs w:val="22"/>
              </w:rPr>
            </w:pPr>
            <w:r>
              <w:rPr>
                <w:rFonts w:ascii="宋体" w:hAnsi="宋体" w:hint="eastAsia"/>
                <w:sz w:val="22"/>
                <w:szCs w:val="22"/>
              </w:rPr>
              <w:t>2025年6月5日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D33D43">
            <w:pPr>
              <w:rPr>
                <w:rFonts w:ascii="宋体" w:hAnsi="宋体"/>
                <w:sz w:val="22"/>
                <w:szCs w:val="22"/>
              </w:rPr>
            </w:pPr>
            <w:r>
              <w:rPr>
                <w:rFonts w:ascii="宋体" w:hAnsi="宋体" w:hint="eastAsia"/>
                <w:sz w:val="22"/>
                <w:szCs w:val="22"/>
              </w:rPr>
              <w:t>2025年6月5日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D33D43">
              <w:rPr>
                <w:rFonts w:ascii="宋体" w:hAnsi="宋体" w:hint="eastAsia"/>
                <w:sz w:val="22"/>
                <w:szCs w:val="22"/>
              </w:rPr>
              <w:t>2055年6月5日</w:t>
            </w:r>
            <w:r>
              <w:rPr>
                <w:rFonts w:ascii="宋体" w:hAnsi="宋体"/>
                <w:sz w:val="22"/>
                <w:szCs w:val="22"/>
              </w:rPr>
              <w:t>，</w:t>
            </w:r>
            <w:r>
              <w:rPr>
                <w:rFonts w:asciiTheme="minorEastAsia" w:eastAsiaTheme="minorEastAsia" w:hAnsiTheme="minorEastAsia" w:hint="eastAsia"/>
                <w:sz w:val="22"/>
                <w:szCs w:val="22"/>
              </w:rPr>
              <w:t>如遇非工作日顺延至下一个工作日。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在理财计划存续期间发生任一理财计划终止事件的，本理财计划有可能终止。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lastRenderedPageBreak/>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K</w:t>
            </w:r>
            <w:r w:rsidR="007C72AC" w:rsidRPr="00E11F6F">
              <w:rPr>
                <w:rFonts w:asciiTheme="minorEastAsia" w:eastAsiaTheme="minorEastAsia" w:hAnsiTheme="minorEastAsia"/>
                <w:b/>
                <w:sz w:val="22"/>
                <w:szCs w:val="22"/>
              </w:rPr>
              <w:t>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N</w:t>
            </w:r>
            <w:r w:rsidR="007C72AC" w:rsidRPr="00E11F6F">
              <w:rPr>
                <w:rFonts w:asciiTheme="minorEastAsia" w:eastAsiaTheme="minorEastAsia" w:hAnsiTheme="minorEastAsia"/>
                <w:b/>
                <w:sz w:val="22"/>
                <w:szCs w:val="22"/>
              </w:rPr>
              <w:t>份额销售服务费率0.</w:t>
            </w:r>
            <w:r w:rsidR="007C72AC">
              <w:rPr>
                <w:rFonts w:asciiTheme="minorEastAsia" w:eastAsiaTheme="minorEastAsia" w:hAnsiTheme="minorEastAsia"/>
                <w:b/>
                <w:sz w:val="22"/>
                <w:szCs w:val="22"/>
              </w:rPr>
              <w:t>3</w:t>
            </w:r>
            <w:r w:rsidR="007C72AC" w:rsidRPr="00E11F6F">
              <w:rPr>
                <w:rFonts w:asciiTheme="minorEastAsia" w:eastAsiaTheme="minorEastAsia" w:hAnsiTheme="minorEastAsia"/>
                <w:b/>
                <w:sz w:val="22"/>
                <w:szCs w:val="22"/>
              </w:rPr>
              <w:t>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P</w:t>
            </w:r>
            <w:r w:rsidR="007C72AC" w:rsidRPr="00E11F6F">
              <w:rPr>
                <w:rFonts w:asciiTheme="minorEastAsia" w:eastAsiaTheme="minorEastAsia" w:hAnsiTheme="minorEastAsia"/>
                <w:b/>
                <w:sz w:val="22"/>
                <w:szCs w:val="22"/>
              </w:rPr>
              <w:t>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RF</w:t>
            </w:r>
            <w:r w:rsidR="007C72AC" w:rsidRPr="00E11F6F">
              <w:rPr>
                <w:rFonts w:asciiTheme="minorEastAsia" w:eastAsiaTheme="minorEastAsia" w:hAnsiTheme="minorEastAsia"/>
                <w:b/>
                <w:sz w:val="22"/>
                <w:szCs w:val="22"/>
              </w:rPr>
              <w:t>份额销售服务费率0.20%/年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产可能因招商银行股份有限公司或其它机构提供管理服务而产生资产服务费等相关费用。管理人将根据费用实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交易费用（包括但不限于交易佣金、印花税、过户费、撮合费用等）、理财计划验资费、审计费、信息披露费、清算费、执行费用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w:t>
            </w:r>
            <w:r>
              <w:rPr>
                <w:rFonts w:ascii="宋体" w:hAnsi="宋体" w:cs="宋体"/>
                <w:sz w:val="22"/>
              </w:rPr>
              <w:lastRenderedPageBreak/>
              <w:t>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r>
              <w:rPr>
                <w:rFonts w:asciiTheme="minorEastAsia" w:eastAsiaTheme="minorEastAsia" w:hAnsiTheme="minorEastAsia" w:hint="eastAsia"/>
                <w:b/>
                <w:sz w:val="22"/>
                <w:szCs w:val="22"/>
              </w:rPr>
              <w:t>就期间分配而言，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lastRenderedPageBreak/>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公布理财计划每万份收益和七日年化收益率。详细内容见以下“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r>
              <w:rPr>
                <w:rFonts w:asciiTheme="minorEastAsia" w:eastAsiaTheme="minorEastAsia" w:hAnsiTheme="minorEastAsia" w:hint="eastAsia"/>
                <w:sz w:val="22"/>
                <w:szCs w:val="22"/>
              </w:rPr>
              <w:t>期开放申购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lastRenderedPageBreak/>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lastRenderedPageBreak/>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在开放日前一工作日内，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7个工作日可变现资产的可变现价值应当不低于本产品净资产的10%。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（∑本理财产品的资产×剩余存续期限—∑本理财产品的负债×剩余存续期限＋债券卖出回购×剩余存续期限）/（本理财产品的资产—本理财产品的负债＋债券卖出回购）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含公募基金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lastRenderedPageBreak/>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7C72AC">
        <w:rPr>
          <w:rFonts w:asciiTheme="minorEastAsia" w:eastAsiaTheme="minorEastAsia" w:hAnsiTheme="minorEastAsia" w:cs="Arial" w:hint="eastAsia"/>
          <w:sz w:val="22"/>
          <w:szCs w:val="22"/>
        </w:rPr>
        <w:t>、宁波银行、交通银行、</w:t>
      </w:r>
      <w:r w:rsidR="002761B3">
        <w:rPr>
          <w:rFonts w:asciiTheme="minorEastAsia" w:eastAsiaTheme="minorEastAsia" w:hAnsiTheme="minorEastAsia" w:cs="Arial" w:hint="eastAsia"/>
          <w:sz w:val="22"/>
          <w:szCs w:val="22"/>
        </w:rPr>
        <w:t>福建</w:t>
      </w:r>
      <w:r w:rsidR="007C72AC">
        <w:rPr>
          <w:rFonts w:asciiTheme="minorEastAsia" w:eastAsiaTheme="minorEastAsia" w:hAnsiTheme="minorEastAsia" w:cs="Arial" w:hint="eastAsia"/>
          <w:sz w:val="22"/>
          <w:szCs w:val="22"/>
        </w:rPr>
        <w:t>海峡银行、泰隆银行、台州银行</w:t>
      </w:r>
      <w:r w:rsidR="002E17FC">
        <w:rPr>
          <w:rFonts w:asciiTheme="minorEastAsia" w:eastAsiaTheme="minorEastAsia" w:hAnsiTheme="minorEastAsia" w:cs="Arial" w:hint="eastAsia"/>
          <w:sz w:val="22"/>
          <w:szCs w:val="22"/>
        </w:rPr>
        <w:t>、华夏银行</w:t>
      </w:r>
      <w:r w:rsidR="00503574">
        <w:rPr>
          <w:rFonts w:asciiTheme="minorEastAsia" w:eastAsiaTheme="minorEastAsia" w:hAnsiTheme="minorEastAsia" w:cs="Arial" w:hint="eastAsia"/>
          <w:sz w:val="22"/>
          <w:szCs w:val="22"/>
        </w:rPr>
        <w:t>、苏州农商行、路桥农商银行、南浔农商行、鄞州农商行、余姚农商行、广州银行、厦门国际银行、江苏银行</w:t>
      </w:r>
      <w:r w:rsidR="002E2BFB">
        <w:rPr>
          <w:rFonts w:asciiTheme="minorEastAsia" w:eastAsiaTheme="minorEastAsia" w:hAnsiTheme="minorEastAsia" w:cs="Arial" w:hint="eastAsia"/>
          <w:sz w:val="22"/>
          <w:szCs w:val="22"/>
        </w:rPr>
        <w:t>、东莞农商银行、长沙银行、日照银行、湖南银行、盛京银行、浦发银行、余杭农商银行</w:t>
      </w:r>
      <w:r w:rsidR="006B2B54">
        <w:rPr>
          <w:rFonts w:asciiTheme="minorEastAsia" w:eastAsiaTheme="minorEastAsia" w:hAnsiTheme="minorEastAsia" w:cs="Arial" w:hint="eastAsia"/>
          <w:sz w:val="22"/>
          <w:szCs w:val="22"/>
        </w:rPr>
        <w:t>、萧山农商银行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243B9">
              <w:rPr>
                <w:rFonts w:ascii="宋体" w:hAnsi="宋体" w:cs="Arial"/>
                <w:sz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2243B9">
              <w:rPr>
                <w:rFonts w:ascii="宋体" w:hAnsi="宋体" w:cs="Arial"/>
                <w:sz w:val="22"/>
              </w:rPr>
              <w:t>浙江省宁波市鄞州区宁东路345号宁波银行大厦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4C3AB3">
              <w:rPr>
                <w:rFonts w:ascii="宋体" w:hAnsi="宋体" w:cs="Arial"/>
                <w:sz w:val="22"/>
              </w:rPr>
              <w:t>95574</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243B9">
              <w:rPr>
                <w:rFonts w:ascii="宋体" w:hAnsi="宋体" w:cs="Arial"/>
                <w:sz w:val="22"/>
              </w:rPr>
              <w:t>交通银行股份有限公司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2243B9">
              <w:rPr>
                <w:rFonts w:ascii="宋体" w:hAnsi="宋体" w:cs="Arial"/>
                <w:sz w:val="22"/>
              </w:rPr>
              <w:t>上海市浦东新区</w:t>
            </w:r>
            <w:r>
              <w:rPr>
                <w:rFonts w:ascii="宋体" w:hAnsi="宋体" w:cs="Arial" w:hint="eastAsia"/>
                <w:sz w:val="22"/>
              </w:rPr>
              <w:t>银</w:t>
            </w:r>
            <w:r w:rsidRPr="00ED181D">
              <w:rPr>
                <w:rFonts w:ascii="宋体" w:hAnsi="宋体" w:cs="Arial"/>
                <w:sz w:val="22"/>
              </w:rPr>
              <w:t>城</w:t>
            </w:r>
            <w:r w:rsidRPr="002243B9">
              <w:rPr>
                <w:rFonts w:ascii="宋体" w:hAnsi="宋体" w:cs="Arial"/>
                <w:sz w:val="22"/>
              </w:rPr>
              <w:t>中路188号交银金融大厦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Pr>
                <w:rFonts w:ascii="宋体" w:hAnsi="宋体" w:cs="Arial" w:hint="eastAsia"/>
                <w:sz w:val="22"/>
              </w:rPr>
              <w:t>9</w:t>
            </w:r>
            <w:r>
              <w:rPr>
                <w:rFonts w:ascii="宋体" w:hAnsi="宋体" w:cs="Arial"/>
                <w:sz w:val="22"/>
              </w:rPr>
              <w:t>5559</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35592">
              <w:rPr>
                <w:rFonts w:ascii="宋体" w:hAnsi="宋体" w:cs="Arial" w:hint="eastAsia"/>
                <w:sz w:val="22"/>
              </w:rPr>
              <w:t>台州银行股份有限公司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浙江省台州市椒江区市府大道699号</w:t>
            </w:r>
          </w:p>
        </w:tc>
      </w:tr>
      <w:tr w:rsidR="007C72AC" w:rsidTr="004E0075">
        <w:trPr>
          <w:jc w:val="center"/>
        </w:trPr>
        <w:tc>
          <w:tcPr>
            <w:tcW w:w="2509" w:type="dxa"/>
            <w:vMerge/>
            <w:tcBorders>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sz w:val="22"/>
              </w:rPr>
              <w:t>95371</w:t>
            </w:r>
          </w:p>
        </w:tc>
      </w:tr>
      <w:tr w:rsidR="002E17FC" w:rsidTr="00503574">
        <w:trPr>
          <w:jc w:val="center"/>
        </w:trPr>
        <w:tc>
          <w:tcPr>
            <w:tcW w:w="2509" w:type="dxa"/>
            <w:vMerge w:val="restart"/>
            <w:tcBorders>
              <w:left w:val="single" w:sz="4" w:space="0" w:color="000000"/>
              <w:right w:val="single" w:sz="4" w:space="0" w:color="000000"/>
            </w:tcBorders>
            <w:vAlign w:val="center"/>
          </w:tcPr>
          <w:p w:rsidR="002E17FC" w:rsidRDefault="002E17FC" w:rsidP="002E17FC">
            <w:pPr>
              <w:widowControl/>
              <w:jc w:val="left"/>
              <w:rPr>
                <w:rFonts w:ascii="宋体" w:hAnsi="宋体" w:cs="Arial"/>
                <w:sz w:val="22"/>
                <w:szCs w:val="22"/>
              </w:rPr>
            </w:pPr>
            <w:r w:rsidRPr="00554E2E">
              <w:rPr>
                <w:rFonts w:ascii="宋体" w:hAnsi="宋体" w:cs="宋体"/>
                <w:sz w:val="22"/>
              </w:rPr>
              <w:t>华夏银行股份有限公司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2E17FC" w:rsidRPr="00235592" w:rsidRDefault="002E17FC" w:rsidP="002E17FC">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2E17FC" w:rsidRPr="00387EBC" w:rsidRDefault="002E17FC" w:rsidP="002E17FC">
            <w:pPr>
              <w:adjustRightInd w:val="0"/>
              <w:snapToGrid w:val="0"/>
              <w:spacing w:line="300" w:lineRule="auto"/>
              <w:rPr>
                <w:rFonts w:ascii="宋体" w:hAnsi="宋体" w:cs="Arial"/>
                <w:sz w:val="22"/>
              </w:rPr>
            </w:pPr>
            <w:r w:rsidRPr="00554E2E">
              <w:rPr>
                <w:rFonts w:ascii="宋体" w:hAnsi="宋体" w:cs="宋体"/>
                <w:sz w:val="22"/>
              </w:rPr>
              <w:t>北京市东城区建国门内大街22号</w:t>
            </w:r>
          </w:p>
        </w:tc>
      </w:tr>
      <w:tr w:rsidR="002E17FC" w:rsidTr="007A7440">
        <w:trPr>
          <w:jc w:val="center"/>
        </w:trPr>
        <w:tc>
          <w:tcPr>
            <w:tcW w:w="2509" w:type="dxa"/>
            <w:vMerge/>
            <w:tcBorders>
              <w:left w:val="single" w:sz="4" w:space="0" w:color="000000"/>
              <w:right w:val="single" w:sz="4" w:space="0" w:color="000000"/>
            </w:tcBorders>
            <w:vAlign w:val="center"/>
          </w:tcPr>
          <w:p w:rsidR="002E17FC" w:rsidRDefault="002E17FC" w:rsidP="002E17F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2E17FC" w:rsidRPr="00235592" w:rsidRDefault="002E17FC" w:rsidP="002E17FC">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2E17FC" w:rsidRPr="00387EBC" w:rsidRDefault="002E17FC" w:rsidP="002E17FC">
            <w:pPr>
              <w:adjustRightInd w:val="0"/>
              <w:snapToGrid w:val="0"/>
              <w:spacing w:line="300" w:lineRule="auto"/>
              <w:rPr>
                <w:rFonts w:ascii="宋体" w:hAnsi="宋体" w:cs="Arial"/>
                <w:sz w:val="22"/>
              </w:rPr>
            </w:pPr>
            <w:r w:rsidRPr="00554E2E">
              <w:rPr>
                <w:rFonts w:ascii="宋体" w:hAnsi="宋体" w:cs="宋体"/>
                <w:sz w:val="22"/>
              </w:rPr>
              <w:t>95577</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504043">
              <w:rPr>
                <w:rFonts w:ascii="宋体" w:hAnsi="宋体" w:cs="宋体"/>
                <w:sz w:val="22"/>
              </w:rPr>
              <w:t>江苏省苏州市吴江区中山南路1777号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504043">
              <w:rPr>
                <w:rFonts w:ascii="宋体" w:hAnsi="宋体" w:cs="宋体"/>
                <w:sz w:val="22"/>
              </w:rPr>
              <w:t>956111</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701A0E">
              <w:rPr>
                <w:rFonts w:ascii="宋体" w:hAnsi="宋体" w:cs="宋体"/>
                <w:sz w:val="22"/>
              </w:rPr>
              <w:t>浙江台州路桥农村商业银行股份有限公司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701A0E">
              <w:rPr>
                <w:rFonts w:ascii="宋体" w:hAnsi="宋体" w:cs="宋体"/>
                <w:sz w:val="22"/>
              </w:rPr>
              <w:t>浙江省台州市路桥区路北街道中心大道5789号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701A0E">
              <w:rPr>
                <w:rFonts w:ascii="宋体" w:hAnsi="宋体" w:cs="宋体"/>
                <w:sz w:val="22"/>
              </w:rPr>
              <w:t>96596</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B159FD">
              <w:rPr>
                <w:rFonts w:ascii="宋体" w:hAnsi="宋体" w:cs="宋体"/>
                <w:sz w:val="22"/>
              </w:rPr>
              <w:lastRenderedPageBreak/>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159FD">
              <w:rPr>
                <w:rFonts w:ascii="宋体" w:hAnsi="宋体" w:cs="宋体"/>
                <w:sz w:val="22"/>
              </w:rPr>
              <w:t>浙江省湖州市南浔区南浔镇人瑞路1188号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159FD">
              <w:rPr>
                <w:rFonts w:ascii="宋体" w:hAnsi="宋体" w:cs="宋体"/>
                <w:sz w:val="22"/>
              </w:rPr>
              <w:t>96596</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761426">
              <w:rPr>
                <w:rFonts w:ascii="宋体" w:hAnsi="宋体" w:cs="宋体"/>
                <w:sz w:val="22"/>
              </w:rPr>
              <w:t>宁波鄞州农村商业银行股份有限公司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6D461E" w:rsidRDefault="00F3237E" w:rsidP="00F3237E">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B159FD" w:rsidRDefault="00F3237E" w:rsidP="00F3237E">
            <w:pPr>
              <w:adjustRightInd w:val="0"/>
              <w:snapToGrid w:val="0"/>
              <w:spacing w:line="300" w:lineRule="auto"/>
              <w:rPr>
                <w:rFonts w:ascii="宋体" w:hAnsi="宋体" w:cs="宋体"/>
                <w:sz w:val="22"/>
              </w:rPr>
            </w:pPr>
            <w:r w:rsidRPr="00761426">
              <w:rPr>
                <w:rFonts w:ascii="宋体" w:hAnsi="宋体" w:cs="宋体"/>
                <w:sz w:val="22"/>
              </w:rPr>
              <w:t>浙江省宁波市鄞州区民惠西路88号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6D461E" w:rsidRDefault="00F3237E" w:rsidP="00F3237E">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B159FD" w:rsidRDefault="00F3237E" w:rsidP="00F3237E">
            <w:pPr>
              <w:adjustRightInd w:val="0"/>
              <w:snapToGrid w:val="0"/>
              <w:spacing w:line="300" w:lineRule="auto"/>
              <w:rPr>
                <w:rFonts w:ascii="宋体" w:hAnsi="宋体" w:cs="宋体"/>
                <w:sz w:val="22"/>
              </w:rPr>
            </w:pPr>
            <w:r w:rsidRPr="00761426">
              <w:rPr>
                <w:rFonts w:ascii="宋体" w:hAnsi="宋体" w:cs="宋体"/>
                <w:sz w:val="22"/>
              </w:rPr>
              <w:t>956058</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DE1572">
              <w:rPr>
                <w:rFonts w:ascii="宋体" w:hAnsi="宋体" w:cs="Arial"/>
                <w:sz w:val="22"/>
              </w:rPr>
              <w:t>宁波余姚农村商业银行股份有限公司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DE1572">
              <w:rPr>
                <w:rFonts w:ascii="宋体" w:hAnsi="宋体" w:cs="Arial"/>
                <w:sz w:val="22"/>
              </w:rPr>
              <w:t>宁波余姚市新建路69号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DE1572">
              <w:rPr>
                <w:rFonts w:ascii="宋体" w:hAnsi="宋体" w:cs="Arial"/>
                <w:sz w:val="22"/>
              </w:rPr>
              <w:t>0574-62628888</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1974CE">
              <w:rPr>
                <w:rFonts w:ascii="宋体" w:hAnsi="宋体" w:cs="宋体"/>
                <w:sz w:val="22"/>
              </w:rPr>
              <w:t>广州银行股份有限公司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1974CE">
              <w:rPr>
                <w:rFonts w:ascii="宋体" w:hAnsi="宋体" w:cs="宋体"/>
                <w:sz w:val="22"/>
              </w:rPr>
              <w:t>广东省广州市天河区珠江东路30号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1974CE">
              <w:rPr>
                <w:rFonts w:ascii="宋体" w:hAnsi="宋体" w:cs="宋体"/>
                <w:sz w:val="22"/>
              </w:rPr>
              <w:t>400-8396699</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B83566">
              <w:rPr>
                <w:rFonts w:ascii="宋体" w:hAnsi="宋体" w:cs="宋体"/>
                <w:sz w:val="22"/>
              </w:rPr>
              <w:t>厦门国际银行股份有限公司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83566">
              <w:rPr>
                <w:rFonts w:ascii="宋体" w:hAnsi="宋体" w:cs="宋体"/>
                <w:sz w:val="22"/>
              </w:rPr>
              <w:t>福建省厦门市思明区鹭江道8-10号国际银行大厦1-6层</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83566">
              <w:rPr>
                <w:rFonts w:ascii="宋体" w:hAnsi="宋体" w:cs="宋体"/>
                <w:sz w:val="22"/>
              </w:rPr>
              <w:t>956085</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Pr>
                <w:rFonts w:ascii="宋体" w:hAnsi="宋体" w:cs="Arial" w:hint="eastAsia"/>
                <w:sz w:val="22"/>
              </w:rPr>
              <w:t>江苏银行股份有限公司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Pr>
                <w:rFonts w:ascii="宋体" w:hAnsi="宋体" w:cs="Arial" w:hint="eastAsia"/>
                <w:sz w:val="22"/>
              </w:rPr>
              <w:t>南京市中华路26号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Pr>
                <w:rFonts w:ascii="宋体" w:hAnsi="宋体" w:cs="Arial" w:hint="eastAsia"/>
                <w:sz w:val="22"/>
              </w:rPr>
              <w:t>95319</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E82F63">
              <w:rPr>
                <w:rFonts w:ascii="宋体" w:hAnsi="宋体" w:cs="Arial" w:hint="eastAsia"/>
                <w:sz w:val="22"/>
              </w:rPr>
              <w:t>东莞农村商业银行股份有限公司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E151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387EBC">
              <w:rPr>
                <w:rFonts w:ascii="宋体" w:hAnsi="宋体" w:cs="Arial" w:hint="eastAsia"/>
                <w:sz w:val="22"/>
              </w:rPr>
              <w:t>广东省东莞市东城</w:t>
            </w:r>
            <w:r>
              <w:rPr>
                <w:rFonts w:ascii="宋体" w:hAnsi="宋体" w:cs="Arial" w:hint="eastAsia"/>
                <w:sz w:val="22"/>
              </w:rPr>
              <w:t>区</w:t>
            </w:r>
            <w:r w:rsidRPr="00387EBC">
              <w:rPr>
                <w:rFonts w:ascii="宋体" w:hAnsi="宋体" w:cs="Arial" w:hint="eastAsia"/>
                <w:sz w:val="22"/>
              </w:rPr>
              <w:t>鸿福东路2号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Arial" w:hint="eastAsia"/>
                <w:sz w:val="22"/>
              </w:rPr>
              <w:t>0769-</w:t>
            </w:r>
            <w:r w:rsidRPr="00387EBC">
              <w:rPr>
                <w:rFonts w:ascii="宋体" w:hAnsi="宋体" w:cs="Arial"/>
                <w:sz w:val="22"/>
              </w:rPr>
              <w:t>961122</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D55950">
              <w:rPr>
                <w:rFonts w:ascii="宋体" w:hAnsi="宋体" w:cs="宋体"/>
                <w:sz w:val="22"/>
              </w:rPr>
              <w:t>长沙银行股份有限公司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D55950">
              <w:rPr>
                <w:rFonts w:ascii="宋体" w:hAnsi="宋体" w:cs="宋体"/>
                <w:sz w:val="22"/>
              </w:rPr>
              <w:t>长沙市岳麓区滨江路53号楷林商务中心B座</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D55950">
              <w:rPr>
                <w:rFonts w:ascii="宋体" w:hAnsi="宋体" w:cs="宋体"/>
                <w:sz w:val="22"/>
              </w:rPr>
              <w:t>0731-96511</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6D461E">
              <w:rPr>
                <w:rFonts w:ascii="宋体" w:hAnsi="宋体" w:cs="宋体"/>
                <w:sz w:val="22"/>
              </w:rPr>
              <w:t>日照银行股份有限公司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6D461E">
              <w:rPr>
                <w:rFonts w:ascii="宋体" w:hAnsi="宋体" w:cs="宋体"/>
                <w:sz w:val="22"/>
              </w:rPr>
              <w:t>日照市烟台路197号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6D461E">
              <w:rPr>
                <w:rFonts w:ascii="宋体" w:hAnsi="宋体" w:cs="宋体"/>
                <w:sz w:val="22"/>
              </w:rPr>
              <w:t>400-68-96588</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8A7C1A">
              <w:rPr>
                <w:rFonts w:ascii="宋体" w:hAnsi="宋体" w:cs="宋体"/>
                <w:sz w:val="22"/>
              </w:rPr>
              <w:t>湖南银行股份有限公司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8A7C1A">
              <w:rPr>
                <w:rFonts w:ascii="宋体" w:hAnsi="宋体" w:cs="宋体"/>
                <w:sz w:val="22"/>
              </w:rPr>
              <w:t>湖南省长沙市天心区湘江中路二段210号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8A7C1A">
              <w:rPr>
                <w:rFonts w:ascii="宋体" w:hAnsi="宋体" w:cs="宋体"/>
                <w:sz w:val="22"/>
              </w:rPr>
              <w:t>0731-96599</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Pr>
                <w:rFonts w:ascii="宋体" w:hAnsi="宋体" w:cs="宋体" w:hint="eastAsia"/>
                <w:sz w:val="22"/>
              </w:rPr>
              <w:t>盛京银行股份有限公司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宋体" w:hint="eastAsia"/>
                <w:sz w:val="22"/>
              </w:rPr>
              <w:t>沈阳市沈河区北站路109号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宋体" w:hint="eastAsia"/>
                <w:sz w:val="22"/>
              </w:rPr>
              <w:t>95337</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C00C67">
              <w:rPr>
                <w:rFonts w:ascii="宋体" w:hAnsi="宋体" w:cs="Arial" w:hint="eastAsia"/>
                <w:sz w:val="22"/>
              </w:rPr>
              <w:t>上海浦东发展银行股份有限公司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C00C67">
              <w:rPr>
                <w:rFonts w:ascii="宋体" w:hAnsi="宋体" w:cs="Arial"/>
                <w:sz w:val="22"/>
              </w:rPr>
              <w:t>上海市中山东一路12号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5528</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D832A9">
              <w:rPr>
                <w:rFonts w:ascii="宋体" w:hAnsi="宋体" w:cs="Arial"/>
                <w:sz w:val="22"/>
              </w:rPr>
              <w:t>浙江省瑞安市安阳街道万松东路148号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Arial"/>
                <w:sz w:val="22"/>
              </w:rPr>
              <w:t>400</w:t>
            </w:r>
            <w:r w:rsidRPr="0055524D">
              <w:rPr>
                <w:rFonts w:ascii="宋体" w:hAnsi="宋体" w:cs="Arial"/>
                <w:sz w:val="22"/>
              </w:rPr>
              <w:t>8896596</w:t>
            </w:r>
          </w:p>
        </w:tc>
      </w:tr>
      <w:tr w:rsidR="006B2B54" w:rsidTr="00503574">
        <w:trPr>
          <w:jc w:val="center"/>
        </w:trPr>
        <w:tc>
          <w:tcPr>
            <w:tcW w:w="2509" w:type="dxa"/>
            <w:vMerge w:val="restart"/>
            <w:tcBorders>
              <w:left w:val="single" w:sz="4" w:space="0" w:color="000000"/>
              <w:right w:val="single" w:sz="4" w:space="0" w:color="000000"/>
            </w:tcBorders>
            <w:vAlign w:val="center"/>
          </w:tcPr>
          <w:p w:rsidR="006B2B54" w:rsidRDefault="006B2B54" w:rsidP="006B2B54">
            <w:pPr>
              <w:widowControl/>
              <w:jc w:val="left"/>
              <w:rPr>
                <w:rFonts w:ascii="宋体" w:hAnsi="宋体" w:cs="Arial"/>
                <w:sz w:val="22"/>
                <w:szCs w:val="22"/>
              </w:rPr>
            </w:pPr>
            <w:r w:rsidRPr="00B87162">
              <w:rPr>
                <w:rFonts w:ascii="宋体" w:hAnsi="宋体" w:cs="宋体"/>
                <w:sz w:val="22"/>
                <w:szCs w:val="22"/>
              </w:rPr>
              <w:t>浙江萧山农村商业银行股份有限公司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B2B54" w:rsidRDefault="006B2B54" w:rsidP="006B2B54">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B2B54" w:rsidRDefault="006B2B54" w:rsidP="006B2B54">
            <w:pPr>
              <w:adjustRightInd w:val="0"/>
              <w:snapToGrid w:val="0"/>
              <w:spacing w:line="300" w:lineRule="auto"/>
              <w:rPr>
                <w:rFonts w:ascii="宋体" w:hAnsi="宋体" w:cs="Arial"/>
                <w:sz w:val="22"/>
              </w:rPr>
            </w:pPr>
            <w:r w:rsidRPr="00B87162">
              <w:rPr>
                <w:rFonts w:ascii="宋体" w:hAnsi="宋体" w:cs="宋体"/>
                <w:sz w:val="22"/>
                <w:szCs w:val="22"/>
              </w:rPr>
              <w:t>浙江省杭州市萧山区盈丰街道鸿宁路2288号</w:t>
            </w:r>
          </w:p>
        </w:tc>
      </w:tr>
      <w:tr w:rsidR="006B2B54" w:rsidTr="00503574">
        <w:trPr>
          <w:jc w:val="center"/>
        </w:trPr>
        <w:tc>
          <w:tcPr>
            <w:tcW w:w="2509" w:type="dxa"/>
            <w:vMerge/>
            <w:tcBorders>
              <w:left w:val="single" w:sz="4" w:space="0" w:color="000000"/>
              <w:right w:val="single" w:sz="4" w:space="0" w:color="000000"/>
            </w:tcBorders>
            <w:vAlign w:val="center"/>
          </w:tcPr>
          <w:p w:rsidR="006B2B54" w:rsidRDefault="006B2B54" w:rsidP="006B2B54">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B2B54" w:rsidRDefault="006B2B54" w:rsidP="006B2B54">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B2B54" w:rsidRDefault="006B2B54" w:rsidP="006B2B54">
            <w:pPr>
              <w:adjustRightInd w:val="0"/>
              <w:snapToGrid w:val="0"/>
              <w:spacing w:line="300" w:lineRule="auto"/>
              <w:rPr>
                <w:rFonts w:ascii="宋体" w:hAnsi="宋体" w:cs="Arial"/>
                <w:sz w:val="22"/>
              </w:rPr>
            </w:pPr>
            <w:r w:rsidRPr="00B87162">
              <w:rPr>
                <w:rFonts w:ascii="宋体" w:hAnsi="宋体" w:cs="宋体"/>
                <w:sz w:val="22"/>
                <w:szCs w:val="22"/>
              </w:rPr>
              <w:t>96596</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lastRenderedPageBreak/>
        <w:t>2.发行规模：</w:t>
      </w:r>
      <w:r>
        <w:rPr>
          <w:rFonts w:ascii="宋体" w:hAnsi="宋体"/>
          <w:sz w:val="22"/>
          <w:szCs w:val="22"/>
        </w:rPr>
        <w:t>发行规模不设下限，</w:t>
      </w:r>
      <w:r>
        <w:rPr>
          <w:rFonts w:ascii="宋体" w:hAnsi="宋体" w:hint="eastAsia"/>
          <w:sz w:val="22"/>
          <w:szCs w:val="22"/>
        </w:rPr>
        <w:t>A份额发行规模上限100亿元</w:t>
      </w:r>
      <w:r w:rsidR="002761B3">
        <w:rPr>
          <w:rFonts w:ascii="宋体" w:hAnsi="宋体"/>
          <w:sz w:val="22"/>
          <w:szCs w:val="22"/>
        </w:rPr>
        <w:t>，K</w:t>
      </w:r>
      <w:r w:rsidR="002761B3">
        <w:rPr>
          <w:rFonts w:ascii="宋体" w:hAnsi="宋体" w:hint="eastAsia"/>
          <w:sz w:val="22"/>
          <w:szCs w:val="22"/>
        </w:rPr>
        <w:t>份额发行规模上限100亿元</w:t>
      </w:r>
      <w:r w:rsidR="002761B3">
        <w:rPr>
          <w:rFonts w:ascii="宋体" w:hAnsi="宋体"/>
          <w:sz w:val="22"/>
          <w:szCs w:val="22"/>
        </w:rPr>
        <w:t>，N</w:t>
      </w:r>
      <w:r w:rsidR="002761B3">
        <w:rPr>
          <w:rFonts w:ascii="宋体" w:hAnsi="宋体" w:hint="eastAsia"/>
          <w:sz w:val="22"/>
          <w:szCs w:val="22"/>
        </w:rPr>
        <w:t>份额发行规模上限100亿元</w:t>
      </w:r>
      <w:r w:rsidR="002761B3">
        <w:rPr>
          <w:rFonts w:ascii="宋体" w:hAnsi="宋体"/>
          <w:sz w:val="22"/>
          <w:szCs w:val="22"/>
        </w:rPr>
        <w:t>，P</w:t>
      </w:r>
      <w:r w:rsidR="002761B3">
        <w:rPr>
          <w:rFonts w:ascii="宋体" w:hAnsi="宋体" w:hint="eastAsia"/>
          <w:sz w:val="22"/>
          <w:szCs w:val="22"/>
        </w:rPr>
        <w:t>份额发行规模上限100亿元</w:t>
      </w:r>
      <w:r w:rsidR="002761B3">
        <w:rPr>
          <w:rFonts w:ascii="宋体" w:hAnsi="宋体"/>
          <w:sz w:val="22"/>
          <w:szCs w:val="22"/>
        </w:rPr>
        <w:t>，RF</w:t>
      </w:r>
      <w:r w:rsidR="002761B3">
        <w:rPr>
          <w:rFonts w:ascii="宋体" w:hAnsi="宋体" w:hint="eastAsia"/>
          <w:sz w:val="22"/>
          <w:szCs w:val="22"/>
        </w:rPr>
        <w:t>份额发行规模上限100亿元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D33D43">
        <w:rPr>
          <w:rFonts w:ascii="宋体" w:hAnsi="宋体" w:hint="eastAsia"/>
          <w:sz w:val="22"/>
          <w:szCs w:val="22"/>
        </w:rPr>
        <w:t>2025年6月3日</w:t>
      </w:r>
      <w:r>
        <w:rPr>
          <w:rFonts w:ascii="宋体" w:hAnsi="宋体" w:hint="eastAsia"/>
          <w:sz w:val="22"/>
          <w:szCs w:val="22"/>
        </w:rPr>
        <w:t>9</w:t>
      </w:r>
      <w:r>
        <w:rPr>
          <w:rFonts w:ascii="宋体" w:hAnsi="宋体"/>
          <w:sz w:val="22"/>
          <w:szCs w:val="22"/>
        </w:rPr>
        <w:t>:00到</w:t>
      </w:r>
      <w:r w:rsidR="00D33D43">
        <w:rPr>
          <w:rFonts w:ascii="宋体" w:hAnsi="宋体" w:hint="eastAsia"/>
          <w:sz w:val="22"/>
          <w:szCs w:val="22"/>
        </w:rPr>
        <w:t>2025年6月4日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D33D43">
        <w:rPr>
          <w:rFonts w:ascii="宋体" w:hAnsi="宋体" w:hint="eastAsia"/>
          <w:sz w:val="22"/>
          <w:szCs w:val="22"/>
        </w:rPr>
        <w:t>2025年6月5日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的整数倍。</w:t>
      </w:r>
      <w:r w:rsidR="00AE0B0A">
        <w:rPr>
          <w:rFonts w:ascii="宋体" w:hAnsi="宋体"/>
          <w:sz w:val="22"/>
          <w:szCs w:val="22"/>
        </w:rPr>
        <w:t>K</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的整数倍。N</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的整数倍。P</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的整数倍。RF</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的整数倍。</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2761B3">
        <w:rPr>
          <w:rFonts w:asciiTheme="minorEastAsia" w:eastAsiaTheme="minorEastAsia" w:hAnsiTheme="minorEastAsia"/>
          <w:b/>
          <w:sz w:val="22"/>
          <w:szCs w:val="22"/>
        </w:rPr>
        <w:t>K</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K</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N</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N</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P</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P</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RF</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RF</w:t>
      </w:r>
      <w:r w:rsidR="002761B3">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5776C8">
        <w:rPr>
          <w:rFonts w:asciiTheme="minorEastAsia" w:eastAsiaTheme="minorEastAsia" w:hAnsiTheme="minorEastAsia" w:hint="eastAsia"/>
          <w:b/>
          <w:sz w:val="22"/>
          <w:szCs w:val="22"/>
        </w:rPr>
        <w:t>3000</w:t>
      </w:r>
      <w:r>
        <w:rPr>
          <w:rFonts w:asciiTheme="minorEastAsia" w:eastAsiaTheme="minorEastAsia" w:hAnsiTheme="minorEastAsia" w:hint="eastAsia"/>
          <w:b/>
          <w:sz w:val="22"/>
          <w:szCs w:val="22"/>
        </w:rPr>
        <w:t>万元和本理财计划A份额规模上限中的较小值。</w:t>
      </w:r>
      <w:r w:rsidR="00FF3197">
        <w:rPr>
          <w:rFonts w:asciiTheme="minorEastAsia" w:eastAsiaTheme="minorEastAsia" w:hAnsiTheme="minorEastAsia"/>
          <w:b/>
          <w:sz w:val="22"/>
          <w:szCs w:val="22"/>
        </w:rPr>
        <w:t>K</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K</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N</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N</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P</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P</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RF</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RF</w:t>
      </w:r>
      <w:r w:rsidR="00FF3197">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lastRenderedPageBreak/>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如管理人在认购登记日根据投资者的认购申请为投资者成功登记认购份额，则视为投资者的认购申请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FF3197">
        <w:rPr>
          <w:rFonts w:asciiTheme="minorEastAsia" w:eastAsiaTheme="minorEastAsia" w:hAnsiTheme="minorEastAsia" w:cs="Arial"/>
          <w:sz w:val="22"/>
          <w:szCs w:val="22"/>
        </w:rPr>
        <w:t>K</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N</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P</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RF</w:t>
      </w:r>
      <w:r w:rsidR="00FF3197">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5776C8">
        <w:rPr>
          <w:rFonts w:asciiTheme="minorEastAsia" w:eastAsiaTheme="minorEastAsia" w:hAnsiTheme="minorEastAsia" w:hint="eastAsia"/>
          <w:sz w:val="22"/>
          <w:szCs w:val="22"/>
        </w:rPr>
        <w:t>3000</w:t>
      </w:r>
      <w:r>
        <w:rPr>
          <w:rFonts w:asciiTheme="minorEastAsia" w:eastAsiaTheme="minorEastAsia" w:hAnsiTheme="minorEastAsia" w:hint="eastAsia"/>
          <w:sz w:val="22"/>
          <w:szCs w:val="22"/>
        </w:rPr>
        <w:t>万元和本理财计划A份额规模上限中二者的较小值，</w:t>
      </w:r>
      <w:r w:rsidR="00FF3197">
        <w:rPr>
          <w:rFonts w:asciiTheme="minorEastAsia" w:eastAsiaTheme="minorEastAsia" w:hAnsiTheme="minorEastAsia"/>
          <w:b/>
          <w:bCs/>
          <w:sz w:val="22"/>
          <w:szCs w:val="22"/>
        </w:rPr>
        <w:t>K</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K</w:t>
      </w:r>
      <w:r w:rsidR="00FF3197">
        <w:rPr>
          <w:rFonts w:asciiTheme="minorEastAsia" w:eastAsiaTheme="minorEastAsia" w:hAnsiTheme="minorEastAsia" w:hint="eastAsia"/>
          <w:sz w:val="22"/>
          <w:szCs w:val="22"/>
        </w:rPr>
        <w:t>份额规模上限中二者的较小值，</w:t>
      </w:r>
      <w:r w:rsidR="00FF3197" w:rsidRPr="00A16B8B">
        <w:rPr>
          <w:rFonts w:asciiTheme="minorEastAsia" w:eastAsiaTheme="minorEastAsia" w:hAnsiTheme="minorEastAsia"/>
          <w:b/>
          <w:sz w:val="22"/>
          <w:szCs w:val="22"/>
        </w:rPr>
        <w:t>N</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N</w:t>
      </w:r>
      <w:r w:rsidR="00FF3197">
        <w:rPr>
          <w:rFonts w:asciiTheme="minorEastAsia" w:eastAsiaTheme="minorEastAsia" w:hAnsiTheme="minorEastAsia" w:hint="eastAsia"/>
          <w:sz w:val="22"/>
          <w:szCs w:val="22"/>
        </w:rPr>
        <w:t>份额规模上限中二者的较小值，</w:t>
      </w:r>
      <w:r w:rsidR="00FF3197">
        <w:rPr>
          <w:rFonts w:asciiTheme="minorEastAsia" w:eastAsiaTheme="minorEastAsia" w:hAnsiTheme="minorEastAsia"/>
          <w:b/>
          <w:bCs/>
          <w:sz w:val="22"/>
          <w:szCs w:val="22"/>
        </w:rPr>
        <w:t>P</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P</w:t>
      </w:r>
      <w:r w:rsidR="00FF3197">
        <w:rPr>
          <w:rFonts w:asciiTheme="minorEastAsia" w:eastAsiaTheme="minorEastAsia" w:hAnsiTheme="minorEastAsia" w:hint="eastAsia"/>
          <w:sz w:val="22"/>
          <w:szCs w:val="22"/>
        </w:rPr>
        <w:t>份额规模上限中二者的较小值，</w:t>
      </w:r>
      <w:r w:rsidR="00FF3197">
        <w:rPr>
          <w:rFonts w:asciiTheme="minorEastAsia" w:eastAsiaTheme="minorEastAsia" w:hAnsiTheme="minorEastAsia"/>
          <w:b/>
          <w:bCs/>
          <w:sz w:val="22"/>
          <w:szCs w:val="22"/>
        </w:rPr>
        <w:t>RF</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RF</w:t>
      </w:r>
      <w:r w:rsidR="00FF3197">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赎回额</w:t>
            </w:r>
            <w:r>
              <w:rPr>
                <w:rFonts w:asciiTheme="minorEastAsia" w:eastAsiaTheme="minorEastAsia" w:hAnsiTheme="minorEastAsia"/>
                <w:b/>
                <w:sz w:val="22"/>
                <w:szCs w:val="22"/>
              </w:rPr>
              <w:t>要求</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E97F3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K</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N</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P</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RF</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FF3197" w:rsidRDefault="00FF3197">
      <w:pPr>
        <w:adjustRightInd w:val="0"/>
        <w:snapToGrid w:val="0"/>
        <w:spacing w:line="300" w:lineRule="auto"/>
        <w:ind w:firstLine="420"/>
        <w:rPr>
          <w:rFonts w:asciiTheme="minorEastAsia" w:eastAsiaTheme="minorEastAsia" w:hAnsiTheme="minorEastAsia"/>
          <w:sz w:val="22"/>
          <w:szCs w:val="22"/>
        </w:rPr>
      </w:pPr>
      <w:r w:rsidRPr="00D151C0">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FF3197" w:rsidRDefault="00FF3197">
      <w:pPr>
        <w:adjustRightInd w:val="0"/>
        <w:snapToGrid w:val="0"/>
        <w:spacing w:line="300" w:lineRule="auto"/>
        <w:jc w:val="left"/>
        <w:rPr>
          <w:rFonts w:ascii="宋体" w:hAnsi="宋体"/>
          <w:b/>
          <w:sz w:val="22"/>
          <w:szCs w:val="22"/>
        </w:rPr>
      </w:pPr>
      <w:r>
        <w:rPr>
          <w:rFonts w:ascii="宋体" w:hAnsi="宋体" w:hint="eastAsia"/>
          <w:b/>
          <w:sz w:val="22"/>
          <w:szCs w:val="22"/>
        </w:rPr>
        <w:t>适用于A份额、</w:t>
      </w:r>
      <w:r w:rsidR="00FB1C68">
        <w:rPr>
          <w:rFonts w:ascii="宋体" w:hAnsi="宋体" w:hint="eastAsia"/>
          <w:b/>
          <w:sz w:val="22"/>
          <w:szCs w:val="22"/>
        </w:rPr>
        <w:t>K份额、</w:t>
      </w:r>
      <w:r w:rsidR="00FB1C68">
        <w:rPr>
          <w:rFonts w:ascii="宋体" w:hAnsi="宋体"/>
          <w:b/>
          <w:sz w:val="22"/>
          <w:szCs w:val="22"/>
        </w:rPr>
        <w:t>N</w:t>
      </w:r>
      <w:r w:rsidR="00FB1C68">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管理人将视为于T日申购，管理人将在T日后第1</w:t>
            </w:r>
            <w:r>
              <w:rPr>
                <w:rFonts w:ascii="宋体" w:hAnsi="宋体" w:hint="eastAsia"/>
                <w:sz w:val="22"/>
                <w:szCs w:val="22"/>
              </w:rPr>
              <w:lastRenderedPageBreak/>
              <w:t>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jc w:val="left"/>
        <w:rPr>
          <w:rFonts w:ascii="宋体" w:hAnsi="宋体"/>
          <w:sz w:val="22"/>
          <w:szCs w:val="22"/>
        </w:rPr>
      </w:pPr>
    </w:p>
    <w:p w:rsidR="00FB1C68" w:rsidRDefault="00FB1C68">
      <w:pPr>
        <w:adjustRightInd w:val="0"/>
        <w:snapToGrid w:val="0"/>
        <w:spacing w:line="300" w:lineRule="auto"/>
        <w:jc w:val="left"/>
        <w:rPr>
          <w:rFonts w:ascii="宋体" w:hAnsi="宋体"/>
          <w:b/>
          <w:sz w:val="22"/>
          <w:szCs w:val="22"/>
        </w:rPr>
      </w:pPr>
      <w:r w:rsidRPr="00A16B8B">
        <w:rPr>
          <w:rFonts w:ascii="宋体" w:hAnsi="宋体" w:hint="eastAsia"/>
          <w:b/>
          <w:sz w:val="22"/>
          <w:szCs w:val="22"/>
        </w:rPr>
        <w:t>适用于</w:t>
      </w:r>
      <w:r w:rsidRPr="00A16B8B">
        <w:rPr>
          <w:rFonts w:ascii="宋体" w:hAnsi="宋体"/>
          <w:b/>
          <w:sz w:val="22"/>
          <w:szCs w:val="22"/>
        </w:rPr>
        <w:t>P份额、RF</w:t>
      </w:r>
      <w:r w:rsidRPr="00A16B8B">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FB1C68" w:rsidTr="00503574">
        <w:tc>
          <w:tcPr>
            <w:tcW w:w="255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T日00:00-17:00（不含）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T+1日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T日17:00-24:00（不含）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FB1C68" w:rsidTr="00503574">
        <w:tc>
          <w:tcPr>
            <w:tcW w:w="2552" w:type="dxa"/>
            <w:vAlign w:val="center"/>
          </w:tcPr>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FB1C68" w:rsidRPr="00A16B8B" w:rsidRDefault="00FB1C68">
      <w:pPr>
        <w:adjustRightInd w:val="0"/>
        <w:snapToGrid w:val="0"/>
        <w:spacing w:line="300" w:lineRule="auto"/>
        <w:jc w:val="left"/>
        <w:rPr>
          <w:rFonts w:ascii="宋体" w:hAnsi="宋体"/>
          <w:b/>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FB1C68" w:rsidRPr="00FB1C68" w:rsidRDefault="00FB1C68" w:rsidP="00A16B8B">
      <w:pPr>
        <w:adjustRightInd w:val="0"/>
        <w:snapToGrid w:val="0"/>
        <w:spacing w:line="300" w:lineRule="auto"/>
        <w:jc w:val="left"/>
        <w:rPr>
          <w:rFonts w:ascii="宋体" w:hAnsi="宋体"/>
          <w:b/>
          <w:sz w:val="22"/>
          <w:szCs w:val="22"/>
        </w:rPr>
      </w:pPr>
      <w:r>
        <w:rPr>
          <w:rFonts w:ascii="宋体" w:hAnsi="宋体" w:hint="eastAsia"/>
          <w:b/>
          <w:sz w:val="22"/>
          <w:szCs w:val="22"/>
        </w:rPr>
        <w:t>适用于A份额、K份额、</w:t>
      </w:r>
      <w:r>
        <w:rPr>
          <w:rFonts w:ascii="宋体" w:hAnsi="宋体"/>
          <w:b/>
          <w:sz w:val="22"/>
          <w:szCs w:val="22"/>
        </w:rPr>
        <w:t>N</w:t>
      </w:r>
      <w:r>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rPr>
          <w:rFonts w:ascii="宋体" w:hAnsi="宋体"/>
          <w:sz w:val="22"/>
          <w:szCs w:val="22"/>
        </w:rPr>
      </w:pPr>
    </w:p>
    <w:p w:rsidR="00FB1C68" w:rsidRDefault="00FB1C68" w:rsidP="00FB1C68">
      <w:pPr>
        <w:adjustRightInd w:val="0"/>
        <w:snapToGrid w:val="0"/>
        <w:spacing w:line="300" w:lineRule="auto"/>
        <w:jc w:val="left"/>
        <w:rPr>
          <w:rFonts w:ascii="宋体" w:hAnsi="宋体"/>
          <w:b/>
          <w:sz w:val="22"/>
          <w:szCs w:val="22"/>
        </w:rPr>
      </w:pPr>
      <w:r w:rsidRPr="00D151C0">
        <w:rPr>
          <w:rFonts w:ascii="宋体" w:hAnsi="宋体" w:hint="eastAsia"/>
          <w:b/>
          <w:sz w:val="22"/>
          <w:szCs w:val="22"/>
        </w:rPr>
        <w:t>适用于P份额、R</w:t>
      </w:r>
      <w:r w:rsidRPr="00D151C0">
        <w:rPr>
          <w:rFonts w:ascii="宋体" w:hAnsi="宋体"/>
          <w:b/>
          <w:sz w:val="22"/>
          <w:szCs w:val="22"/>
        </w:rPr>
        <w:t>F</w:t>
      </w:r>
      <w:r w:rsidRPr="00D151C0">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FB1C68" w:rsidTr="00503574">
        <w:tc>
          <w:tcPr>
            <w:tcW w:w="255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T+1日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FB1C68" w:rsidTr="00503574">
        <w:tc>
          <w:tcPr>
            <w:tcW w:w="2552" w:type="dxa"/>
            <w:vAlign w:val="center"/>
          </w:tcPr>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FB1C68" w:rsidRDefault="00FB1C68" w:rsidP="00503574">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FB1C68" w:rsidRPr="00FB1C68" w:rsidRDefault="00FB1C68">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w:t>
      </w:r>
      <w:r>
        <w:rPr>
          <w:rFonts w:asciiTheme="minorEastAsia" w:hAnsiTheme="minorEastAsia" w:hint="eastAsia"/>
          <w:sz w:val="22"/>
          <w:szCs w:val="22"/>
        </w:rPr>
        <w:lastRenderedPageBreak/>
        <w:t>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lastRenderedPageBreak/>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若理财计划单个开放日</w:t>
      </w:r>
      <w:r>
        <w:rPr>
          <w:rFonts w:ascii="宋体" w:hAnsi="宋体" w:hint="eastAsia"/>
          <w:b/>
          <w:bCs/>
          <w:color w:val="000000"/>
          <w:kern w:val="0"/>
          <w:sz w:val="22"/>
          <w:szCs w:val="22"/>
          <w:lang w:val="zh-CN"/>
        </w:rPr>
        <w:t>净赎回申请份额（赎回申请份额总数扣除申购申请份额总数）超过上一工作日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亿份的前提下，对其余赎回申请暂停接受或延期办理。如次一开放日</w:t>
      </w:r>
      <w:r>
        <w:rPr>
          <w:rFonts w:ascii="宋体" w:hAnsi="宋体" w:hint="eastAsia"/>
          <w:bCs/>
          <w:color w:val="000000"/>
          <w:kern w:val="0"/>
          <w:sz w:val="22"/>
          <w:szCs w:val="22"/>
          <w:lang w:val="zh-CN"/>
        </w:rPr>
        <w:t>净赎回申请份额继续超过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w:t>
      </w:r>
      <w:r>
        <w:rPr>
          <w:rFonts w:ascii="宋体" w:hAnsi="宋体" w:hint="eastAsia"/>
          <w:bCs/>
          <w:sz w:val="22"/>
          <w:szCs w:val="22"/>
        </w:rPr>
        <w:lastRenderedPageBreak/>
        <w:t>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当前一估值日产品资产净值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七日年化收益率随投资收益变化，理财计划存续期内，管理人于每个理财计划自然日计算理财计划每万份收益和七日年化收益率，并于该自然日后第1个工作日内通过“信息披露”约定的渠道发布理财计划每万份收益和七日年化收益率，理财计划每万份收益精确到小数点后4位，小数点4位以后舍位，七日年化收益率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本理财计划估值采用摊余成本法，即计价对象以买入成本列示，按实际利率并考虑其买入时的溢价与折价，在其剩余存续期内摊销，每日计提损益。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）债券等资产采用溢折价摊销后的成本列示，按票面利率计提应收利息。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w:t>
      </w:r>
      <w:r>
        <w:rPr>
          <w:rFonts w:asciiTheme="minorEastAsia" w:eastAsiaTheme="minorEastAsia" w:hAnsiTheme="minorEastAsia" w:hint="eastAsia"/>
          <w:sz w:val="22"/>
          <w:szCs w:val="22"/>
        </w:rPr>
        <w:lastRenderedPageBreak/>
        <w:t>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出现上述情形时，管理人将依据法律法规规定履行信息披露程序。影子定价与摊余成本法确定的现金管理类产品资产净值的偏离度＝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，其中，NAVs为影子定价确定的现金管理类产品资产净值，NAVa为摊余成本法确定的现金管理类产品资产净值。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r>
        <w:rPr>
          <w:rFonts w:asciiTheme="minorEastAsia" w:eastAsiaTheme="minorEastAsia" w:hAnsiTheme="minorEastAsia" w:cs="Arial" w:hint="eastAsia"/>
          <w:sz w:val="22"/>
          <w:szCs w:val="22"/>
        </w:rPr>
        <w:t>资管计划合同约定暂停估值或无法估值的情形发生，导致理财计划无法估值的；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lastRenderedPageBreak/>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w:t>
      </w:r>
      <w:r>
        <w:rPr>
          <w:rFonts w:asciiTheme="minorEastAsia" w:eastAsiaTheme="minorEastAsia" w:hAnsiTheme="minorEastAsia"/>
          <w:sz w:val="22"/>
          <w:szCs w:val="22"/>
        </w:rPr>
        <w:t>最新约定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1）本理财计划类型为非保本浮动收益类理财产品，本理财计划每万份收益和七日年化收益率根据市场利率的变化以及招银理财实际投资运作的情况计算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上述收益计算为以</w:t>
      </w:r>
      <w:r>
        <w:rPr>
          <w:rFonts w:asciiTheme="minorEastAsia" w:eastAsiaTheme="minorEastAsia" w:hAnsiTheme="minorEastAsia" w:hint="eastAsia"/>
          <w:sz w:val="22"/>
          <w:szCs w:val="22"/>
        </w:rPr>
        <w:t>舍位</w:t>
      </w:r>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七日年化收益率（</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是最近第i个自然日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i=1,2,3…7）的每万份收益，七日年化</w:t>
      </w:r>
      <w:r>
        <w:rPr>
          <w:rFonts w:asciiTheme="minorEastAsia" w:eastAsiaTheme="minorEastAsia" w:hAnsiTheme="minorEastAsia" w:hint="eastAsia"/>
          <w:sz w:val="22"/>
          <w:szCs w:val="22"/>
        </w:rPr>
        <w:t>收益率采取舍位的方式保留小数点后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7日，则采取实际日收益率折算为</w:t>
      </w:r>
      <w:r>
        <w:rPr>
          <w:rFonts w:asciiTheme="minorEastAsia" w:eastAsiaTheme="minorEastAsia" w:hAnsiTheme="minorEastAsia" w:hint="eastAsia"/>
          <w:sz w:val="22"/>
          <w:szCs w:val="22"/>
        </w:rPr>
        <w:t>年化收益率的方式计算。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）理财计划每万份收益和七日年化收益率的公布时间：招银理财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w:t>
      </w:r>
      <w:r>
        <w:rPr>
          <w:rFonts w:asciiTheme="minorEastAsia" w:eastAsiaTheme="minorEastAsia" w:hAnsiTheme="minorEastAsia" w:cs="Arial"/>
          <w:sz w:val="22"/>
          <w:szCs w:val="22"/>
        </w:rPr>
        <w:lastRenderedPageBreak/>
        <w:t>品说明书约定的信息披露渠道</w:t>
      </w:r>
      <w:r>
        <w:rPr>
          <w:rFonts w:asciiTheme="minorEastAsia" w:eastAsiaTheme="minorEastAsia" w:hAnsiTheme="minorEastAsia" w:hint="eastAsia"/>
          <w:sz w:val="22"/>
          <w:szCs w:val="22"/>
        </w:rPr>
        <w:t>公布上一工作日的理财计划每万份收益和七日年化收益率。（例如：周五的理财计划每万份收益和七日年化收益率于下周一公布）。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就期间分配而言，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w:t>
      </w:r>
      <w:r>
        <w:rPr>
          <w:rFonts w:asciiTheme="minorEastAsia" w:eastAsiaTheme="minorEastAsia" w:hAnsiTheme="minorEastAsia" w:cs="Arial"/>
          <w:sz w:val="22"/>
          <w:szCs w:val="22"/>
        </w:rPr>
        <w:lastRenderedPageBreak/>
        <w:t>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D33D43">
        <w:rPr>
          <w:rFonts w:asciiTheme="minorEastAsia" w:eastAsiaTheme="minorEastAsia" w:hAnsiTheme="minorEastAsia" w:cs="Arial" w:hint="eastAsia"/>
          <w:sz w:val="22"/>
          <w:szCs w:val="22"/>
        </w:rPr>
        <w:t>2055年6月5日</w:t>
      </w:r>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日。发生下列任一情形的，理财产品管理人有权以投资者利益最大化为原则，根据市场情况综合判断决定延长产品期限，推迟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2.预计理财计划所投资的信托计划、资管计划、私募基金的受托人或管理人将不能按期向招银理财划付理财计划的本金和收益；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C理财计划预计到期日届至且未延期的；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D理财计划延期期限届至且未再次延期，或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资管计划</w:t>
      </w:r>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如理财计划终止，除理财计划必须终止的事件第C款及第D款之外，理财产品管理人</w:t>
      </w:r>
      <w:r>
        <w:rPr>
          <w:rFonts w:asciiTheme="minorEastAsia" w:eastAsiaTheme="minorEastAsia" w:hAnsiTheme="minorEastAsia" w:cs="Arial"/>
          <w:sz w:val="22"/>
          <w:szCs w:val="22"/>
        </w:rPr>
        <w:lastRenderedPageBreak/>
        <w:t>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K</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N</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w:t>
      </w:r>
      <w:r w:rsidR="00F4533E">
        <w:rPr>
          <w:rFonts w:asciiTheme="minorEastAsia" w:eastAsiaTheme="minorEastAsia" w:hAnsiTheme="minorEastAsia"/>
          <w:b/>
          <w:sz w:val="22"/>
          <w:szCs w:val="22"/>
        </w:rPr>
        <w:t>3</w:t>
      </w:r>
      <w:r w:rsidR="00F4533E" w:rsidRPr="00E11F6F">
        <w:rPr>
          <w:rFonts w:asciiTheme="minorEastAsia" w:eastAsiaTheme="minorEastAsia" w:hAnsiTheme="minorEastAsia"/>
          <w:b/>
          <w:sz w:val="22"/>
          <w:szCs w:val="22"/>
        </w:rPr>
        <w:t>0%/年，</w:t>
      </w:r>
      <w:r w:rsidR="00F4533E">
        <w:rPr>
          <w:rFonts w:asciiTheme="minorEastAsia" w:eastAsiaTheme="minorEastAsia" w:hAnsiTheme="minorEastAsia"/>
          <w:b/>
          <w:sz w:val="22"/>
          <w:szCs w:val="22"/>
        </w:rPr>
        <w:t>P</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RF</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hint="eastAsia"/>
          <w:b/>
          <w:sz w:val="22"/>
          <w:szCs w:val="22"/>
        </w:rPr>
        <w:t>K</w:t>
      </w:r>
      <w:r w:rsidRPr="00E11F6F">
        <w:rPr>
          <w:rFonts w:asciiTheme="minorEastAsia" w:eastAsiaTheme="minorEastAsia" w:hAnsiTheme="minorEastAsia"/>
          <w:b/>
          <w:sz w:val="22"/>
          <w:szCs w:val="22"/>
        </w:rPr>
        <w:t>份额×0.20%÷365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F4533E" w:rsidRP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份额×0.20%÷365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w:t>
      </w:r>
      <w:r w:rsidRPr="00E11F6F">
        <w:rPr>
          <w:rFonts w:asciiTheme="minorEastAsia" w:eastAsiaTheme="minorEastAsia" w:hAnsiTheme="minorEastAsia" w:hint="eastAsia"/>
          <w:b/>
          <w:sz w:val="22"/>
          <w:szCs w:val="22"/>
        </w:rPr>
        <w:lastRenderedPageBreak/>
        <w:t>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r w:rsidRPr="00E11F6F">
        <w:rPr>
          <w:rFonts w:asciiTheme="minorEastAsia" w:eastAsiaTheme="minorEastAsia" w:hAnsiTheme="minorEastAsia" w:cs="Arial" w:hint="eastAsia"/>
          <w:b/>
          <w:sz w:val="22"/>
          <w:szCs w:val="22"/>
        </w:rPr>
        <w:t>产可能因招商银行股份有限公司或其它机构提供管理服务而产生资产服务费等相关费用。管理人将根据费用实际发生额支付，并按照产品说明书约定的信息披露方式予以披露。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交易费用（包括但不限于交易佣金、印花税、过户费、撮合费用等）、理财计划验资费、审计费、信息披露费、清算费、执行费用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lastRenderedPageBreak/>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适宜成立运行，或理财计划认购总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w:t>
      </w:r>
      <w:r>
        <w:rPr>
          <w:rFonts w:ascii="宋体" w:hAnsi="宋体" w:hint="eastAsia"/>
          <w:bCs/>
          <w:sz w:val="22"/>
          <w:szCs w:val="22"/>
        </w:rPr>
        <w:lastRenderedPageBreak/>
        <w:t>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未按照产品说明书约定分配收益；理财计划所投资产出现重大损失；市场发生重大变化、投资的资产质量发生重大变化或者其它可能对投资者权益产生重大影响的突发事件等经</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lastRenderedPageBreak/>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CBE" w:rsidRDefault="00FC1CBE">
      <w:r>
        <w:separator/>
      </w:r>
    </w:p>
  </w:endnote>
  <w:endnote w:type="continuationSeparator" w:id="0">
    <w:p w:rsidR="00FC1CBE" w:rsidRDefault="00FC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574" w:rsidRDefault="00503574">
    <w:pPr>
      <w:pStyle w:val="ab"/>
      <w:framePr w:wrap="around" w:vAnchor="text" w:hAnchor="margin" w:xAlign="center" w:y="1"/>
      <w:rPr>
        <w:rStyle w:val="af2"/>
      </w:rPr>
    </w:pPr>
    <w:r>
      <w:fldChar w:fldCharType="begin"/>
    </w:r>
    <w:r>
      <w:rPr>
        <w:rStyle w:val="af2"/>
      </w:rPr>
      <w:instrText xml:space="preserve">PAGE  </w:instrText>
    </w:r>
    <w:r>
      <w:fldChar w:fldCharType="end"/>
    </w:r>
  </w:p>
  <w:p w:rsidR="00503574" w:rsidRDefault="00503574">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574" w:rsidRDefault="00503574">
    <w:pPr>
      <w:pStyle w:val="ab"/>
      <w:framePr w:wrap="around" w:vAnchor="text" w:hAnchor="margin" w:xAlign="center" w:y="1"/>
      <w:rPr>
        <w:rStyle w:val="af2"/>
      </w:rPr>
    </w:pPr>
    <w:r>
      <w:fldChar w:fldCharType="begin"/>
    </w:r>
    <w:r>
      <w:rPr>
        <w:rStyle w:val="af2"/>
      </w:rPr>
      <w:instrText xml:space="preserve">PAGE  </w:instrText>
    </w:r>
    <w:r>
      <w:fldChar w:fldCharType="separate"/>
    </w:r>
    <w:r w:rsidR="00F8470E">
      <w:rPr>
        <w:rStyle w:val="af2"/>
        <w:noProof/>
      </w:rPr>
      <w:t>1</w:t>
    </w:r>
    <w:r>
      <w:fldChar w:fldCharType="end"/>
    </w:r>
  </w:p>
  <w:p w:rsidR="00503574" w:rsidRDefault="0050357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CBE" w:rsidRDefault="00FC1CBE">
      <w:r>
        <w:separator/>
      </w:r>
    </w:p>
  </w:footnote>
  <w:footnote w:type="continuationSeparator" w:id="0">
    <w:p w:rsidR="00FC1CBE" w:rsidRDefault="00FC1C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BA"/>
    <w:rsid w:val="000224C9"/>
    <w:rsid w:val="000232D7"/>
    <w:rsid w:val="0002334D"/>
    <w:rsid w:val="0002377C"/>
    <w:rsid w:val="00024593"/>
    <w:rsid w:val="00024EEC"/>
    <w:rsid w:val="000251A5"/>
    <w:rsid w:val="00030166"/>
    <w:rsid w:val="000305A6"/>
    <w:rsid w:val="00030B43"/>
    <w:rsid w:val="000317B4"/>
    <w:rsid w:val="00032725"/>
    <w:rsid w:val="0003416D"/>
    <w:rsid w:val="00035C20"/>
    <w:rsid w:val="00040023"/>
    <w:rsid w:val="000403A0"/>
    <w:rsid w:val="00040B74"/>
    <w:rsid w:val="00042880"/>
    <w:rsid w:val="00043C38"/>
    <w:rsid w:val="00044088"/>
    <w:rsid w:val="0004421C"/>
    <w:rsid w:val="00044420"/>
    <w:rsid w:val="00051CF4"/>
    <w:rsid w:val="000527FA"/>
    <w:rsid w:val="00053B0B"/>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71069"/>
    <w:rsid w:val="00071E74"/>
    <w:rsid w:val="0007220F"/>
    <w:rsid w:val="000733CB"/>
    <w:rsid w:val="00074E68"/>
    <w:rsid w:val="000757C0"/>
    <w:rsid w:val="00076134"/>
    <w:rsid w:val="000776D8"/>
    <w:rsid w:val="00083030"/>
    <w:rsid w:val="00085AAF"/>
    <w:rsid w:val="00086E72"/>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691"/>
    <w:rsid w:val="000E4909"/>
    <w:rsid w:val="000E4A7E"/>
    <w:rsid w:val="000E571E"/>
    <w:rsid w:val="000E5DB3"/>
    <w:rsid w:val="000E5F56"/>
    <w:rsid w:val="000E6096"/>
    <w:rsid w:val="000E6222"/>
    <w:rsid w:val="000E64F7"/>
    <w:rsid w:val="000E6CDC"/>
    <w:rsid w:val="000E70A7"/>
    <w:rsid w:val="000F0DDC"/>
    <w:rsid w:val="000F2756"/>
    <w:rsid w:val="000F3899"/>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5E7"/>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6585"/>
    <w:rsid w:val="00187799"/>
    <w:rsid w:val="00187D66"/>
    <w:rsid w:val="00191381"/>
    <w:rsid w:val="00192C11"/>
    <w:rsid w:val="00196C98"/>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3F00"/>
    <w:rsid w:val="00264989"/>
    <w:rsid w:val="00264B73"/>
    <w:rsid w:val="002655EC"/>
    <w:rsid w:val="002660AE"/>
    <w:rsid w:val="00266775"/>
    <w:rsid w:val="00267388"/>
    <w:rsid w:val="00267BB8"/>
    <w:rsid w:val="00270CE2"/>
    <w:rsid w:val="002721A9"/>
    <w:rsid w:val="00272340"/>
    <w:rsid w:val="00272B64"/>
    <w:rsid w:val="00273BF6"/>
    <w:rsid w:val="002744EC"/>
    <w:rsid w:val="00274B76"/>
    <w:rsid w:val="002761B3"/>
    <w:rsid w:val="002763AB"/>
    <w:rsid w:val="002778AD"/>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494"/>
    <w:rsid w:val="002C1AA1"/>
    <w:rsid w:val="002C2424"/>
    <w:rsid w:val="002C2C5B"/>
    <w:rsid w:val="002C2E78"/>
    <w:rsid w:val="002C3590"/>
    <w:rsid w:val="002C6090"/>
    <w:rsid w:val="002C6199"/>
    <w:rsid w:val="002C7279"/>
    <w:rsid w:val="002D06E0"/>
    <w:rsid w:val="002D0B6F"/>
    <w:rsid w:val="002D2732"/>
    <w:rsid w:val="002D2F97"/>
    <w:rsid w:val="002D3045"/>
    <w:rsid w:val="002D3879"/>
    <w:rsid w:val="002D517C"/>
    <w:rsid w:val="002D6664"/>
    <w:rsid w:val="002D6DA2"/>
    <w:rsid w:val="002D6EED"/>
    <w:rsid w:val="002E17FC"/>
    <w:rsid w:val="002E2173"/>
    <w:rsid w:val="002E2BFB"/>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4E9"/>
    <w:rsid w:val="00306E9F"/>
    <w:rsid w:val="00310564"/>
    <w:rsid w:val="00311CE9"/>
    <w:rsid w:val="003126DC"/>
    <w:rsid w:val="00312BC2"/>
    <w:rsid w:val="00312ECE"/>
    <w:rsid w:val="0031323E"/>
    <w:rsid w:val="00314634"/>
    <w:rsid w:val="00315468"/>
    <w:rsid w:val="00315994"/>
    <w:rsid w:val="00317E87"/>
    <w:rsid w:val="003207C1"/>
    <w:rsid w:val="00322C42"/>
    <w:rsid w:val="00322CF7"/>
    <w:rsid w:val="003236F3"/>
    <w:rsid w:val="003237B9"/>
    <w:rsid w:val="00324B5A"/>
    <w:rsid w:val="003252C2"/>
    <w:rsid w:val="00325F63"/>
    <w:rsid w:val="003269B1"/>
    <w:rsid w:val="003309BD"/>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9FC"/>
    <w:rsid w:val="00350EF3"/>
    <w:rsid w:val="0035322F"/>
    <w:rsid w:val="00355345"/>
    <w:rsid w:val="00355854"/>
    <w:rsid w:val="00355908"/>
    <w:rsid w:val="00355E32"/>
    <w:rsid w:val="00357275"/>
    <w:rsid w:val="0036075B"/>
    <w:rsid w:val="003633B9"/>
    <w:rsid w:val="00363412"/>
    <w:rsid w:val="00363BA7"/>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6618"/>
    <w:rsid w:val="00387E33"/>
    <w:rsid w:val="00390F34"/>
    <w:rsid w:val="003920D8"/>
    <w:rsid w:val="003928FB"/>
    <w:rsid w:val="00395C91"/>
    <w:rsid w:val="00395D7C"/>
    <w:rsid w:val="0039630B"/>
    <w:rsid w:val="003965ED"/>
    <w:rsid w:val="0039725A"/>
    <w:rsid w:val="003A2077"/>
    <w:rsid w:val="003A20A7"/>
    <w:rsid w:val="003A603C"/>
    <w:rsid w:val="003A6734"/>
    <w:rsid w:val="003A7995"/>
    <w:rsid w:val="003B1732"/>
    <w:rsid w:val="003B17FB"/>
    <w:rsid w:val="003B24BF"/>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2595"/>
    <w:rsid w:val="003E33DF"/>
    <w:rsid w:val="003E3BAF"/>
    <w:rsid w:val="003E457C"/>
    <w:rsid w:val="003E5551"/>
    <w:rsid w:val="003F1083"/>
    <w:rsid w:val="003F6A5D"/>
    <w:rsid w:val="004028AC"/>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6087E"/>
    <w:rsid w:val="00460B9B"/>
    <w:rsid w:val="00461409"/>
    <w:rsid w:val="00463424"/>
    <w:rsid w:val="00463F54"/>
    <w:rsid w:val="00464E71"/>
    <w:rsid w:val="00465746"/>
    <w:rsid w:val="00465DF1"/>
    <w:rsid w:val="00467287"/>
    <w:rsid w:val="00467FCA"/>
    <w:rsid w:val="004726A4"/>
    <w:rsid w:val="00476A47"/>
    <w:rsid w:val="00476AFD"/>
    <w:rsid w:val="004823D8"/>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7072"/>
    <w:rsid w:val="004A7FA8"/>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0075"/>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3574"/>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1E29"/>
    <w:rsid w:val="0053322D"/>
    <w:rsid w:val="00534BF7"/>
    <w:rsid w:val="005350D3"/>
    <w:rsid w:val="00535E1C"/>
    <w:rsid w:val="00537523"/>
    <w:rsid w:val="0054263F"/>
    <w:rsid w:val="005428B3"/>
    <w:rsid w:val="00543C8D"/>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40B3"/>
    <w:rsid w:val="00564484"/>
    <w:rsid w:val="00565EF3"/>
    <w:rsid w:val="0056607B"/>
    <w:rsid w:val="00567132"/>
    <w:rsid w:val="00570B97"/>
    <w:rsid w:val="00571C60"/>
    <w:rsid w:val="00575336"/>
    <w:rsid w:val="005757EE"/>
    <w:rsid w:val="00575F26"/>
    <w:rsid w:val="005761F1"/>
    <w:rsid w:val="005763D2"/>
    <w:rsid w:val="005776C8"/>
    <w:rsid w:val="00577B18"/>
    <w:rsid w:val="005814BC"/>
    <w:rsid w:val="00581FCC"/>
    <w:rsid w:val="0058406D"/>
    <w:rsid w:val="00585B26"/>
    <w:rsid w:val="0058651B"/>
    <w:rsid w:val="005877F1"/>
    <w:rsid w:val="0059013E"/>
    <w:rsid w:val="00590C5B"/>
    <w:rsid w:val="005917E7"/>
    <w:rsid w:val="00591861"/>
    <w:rsid w:val="00592182"/>
    <w:rsid w:val="00593945"/>
    <w:rsid w:val="00593E4F"/>
    <w:rsid w:val="00593FDC"/>
    <w:rsid w:val="005940A1"/>
    <w:rsid w:val="0059733E"/>
    <w:rsid w:val="005979FF"/>
    <w:rsid w:val="005A18D1"/>
    <w:rsid w:val="005A3316"/>
    <w:rsid w:val="005A5738"/>
    <w:rsid w:val="005A5BA9"/>
    <w:rsid w:val="005A6EF8"/>
    <w:rsid w:val="005B3952"/>
    <w:rsid w:val="005B48D5"/>
    <w:rsid w:val="005B5335"/>
    <w:rsid w:val="005B572B"/>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5AA"/>
    <w:rsid w:val="00641BCB"/>
    <w:rsid w:val="00642452"/>
    <w:rsid w:val="00643360"/>
    <w:rsid w:val="0064345F"/>
    <w:rsid w:val="00644A24"/>
    <w:rsid w:val="00651ADE"/>
    <w:rsid w:val="00651E67"/>
    <w:rsid w:val="0065304A"/>
    <w:rsid w:val="00653876"/>
    <w:rsid w:val="00653C1B"/>
    <w:rsid w:val="00662294"/>
    <w:rsid w:val="00663A00"/>
    <w:rsid w:val="00663B8A"/>
    <w:rsid w:val="00663E74"/>
    <w:rsid w:val="006672E0"/>
    <w:rsid w:val="00667739"/>
    <w:rsid w:val="00670702"/>
    <w:rsid w:val="006708A6"/>
    <w:rsid w:val="006721C7"/>
    <w:rsid w:val="00672F9A"/>
    <w:rsid w:val="006730BB"/>
    <w:rsid w:val="00675868"/>
    <w:rsid w:val="00676962"/>
    <w:rsid w:val="006808BC"/>
    <w:rsid w:val="0068103B"/>
    <w:rsid w:val="006830D0"/>
    <w:rsid w:val="006844CC"/>
    <w:rsid w:val="00684884"/>
    <w:rsid w:val="00684D2D"/>
    <w:rsid w:val="006858A1"/>
    <w:rsid w:val="00690671"/>
    <w:rsid w:val="0069082F"/>
    <w:rsid w:val="0069284C"/>
    <w:rsid w:val="00693EEA"/>
    <w:rsid w:val="00697A87"/>
    <w:rsid w:val="006A0752"/>
    <w:rsid w:val="006A2277"/>
    <w:rsid w:val="006A36BC"/>
    <w:rsid w:val="006A463C"/>
    <w:rsid w:val="006A4F96"/>
    <w:rsid w:val="006A5AE6"/>
    <w:rsid w:val="006A7015"/>
    <w:rsid w:val="006B0B31"/>
    <w:rsid w:val="006B1C4C"/>
    <w:rsid w:val="006B209C"/>
    <w:rsid w:val="006B2B54"/>
    <w:rsid w:val="006B40E7"/>
    <w:rsid w:val="006C00FC"/>
    <w:rsid w:val="006C064A"/>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389D"/>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75A"/>
    <w:rsid w:val="007161A0"/>
    <w:rsid w:val="00717737"/>
    <w:rsid w:val="007206CE"/>
    <w:rsid w:val="00721049"/>
    <w:rsid w:val="007226A9"/>
    <w:rsid w:val="00722946"/>
    <w:rsid w:val="0072414F"/>
    <w:rsid w:val="00725CDA"/>
    <w:rsid w:val="0072605E"/>
    <w:rsid w:val="00726552"/>
    <w:rsid w:val="0072671A"/>
    <w:rsid w:val="00727558"/>
    <w:rsid w:val="007277DF"/>
    <w:rsid w:val="00730226"/>
    <w:rsid w:val="00731832"/>
    <w:rsid w:val="0073302E"/>
    <w:rsid w:val="0073328C"/>
    <w:rsid w:val="00736541"/>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A7440"/>
    <w:rsid w:val="007B3162"/>
    <w:rsid w:val="007B445B"/>
    <w:rsid w:val="007B58AA"/>
    <w:rsid w:val="007B647A"/>
    <w:rsid w:val="007B7C95"/>
    <w:rsid w:val="007C15CE"/>
    <w:rsid w:val="007C1F23"/>
    <w:rsid w:val="007C235E"/>
    <w:rsid w:val="007C2DAF"/>
    <w:rsid w:val="007C33B8"/>
    <w:rsid w:val="007C3B79"/>
    <w:rsid w:val="007C6031"/>
    <w:rsid w:val="007C6F64"/>
    <w:rsid w:val="007C72AC"/>
    <w:rsid w:val="007C7B24"/>
    <w:rsid w:val="007D0D0C"/>
    <w:rsid w:val="007D135C"/>
    <w:rsid w:val="007D16D6"/>
    <w:rsid w:val="007D1F91"/>
    <w:rsid w:val="007D28EF"/>
    <w:rsid w:val="007D594F"/>
    <w:rsid w:val="007D714B"/>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194"/>
    <w:rsid w:val="007F6C6F"/>
    <w:rsid w:val="0080099D"/>
    <w:rsid w:val="00801B1E"/>
    <w:rsid w:val="00802507"/>
    <w:rsid w:val="008031C8"/>
    <w:rsid w:val="00805829"/>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70978"/>
    <w:rsid w:val="00872AE1"/>
    <w:rsid w:val="00876351"/>
    <w:rsid w:val="008806ED"/>
    <w:rsid w:val="00881DF6"/>
    <w:rsid w:val="00881F37"/>
    <w:rsid w:val="0088366B"/>
    <w:rsid w:val="00883A41"/>
    <w:rsid w:val="0088410F"/>
    <w:rsid w:val="00884754"/>
    <w:rsid w:val="008855FA"/>
    <w:rsid w:val="00885C75"/>
    <w:rsid w:val="00885CCD"/>
    <w:rsid w:val="00887995"/>
    <w:rsid w:val="00890CF1"/>
    <w:rsid w:val="00892DA7"/>
    <w:rsid w:val="008937E8"/>
    <w:rsid w:val="00895A92"/>
    <w:rsid w:val="008967F8"/>
    <w:rsid w:val="00896A09"/>
    <w:rsid w:val="008971D2"/>
    <w:rsid w:val="008973C0"/>
    <w:rsid w:val="00897B2E"/>
    <w:rsid w:val="008A05A9"/>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F1996"/>
    <w:rsid w:val="008F1F28"/>
    <w:rsid w:val="008F5DC9"/>
    <w:rsid w:val="008F5F6B"/>
    <w:rsid w:val="008F617A"/>
    <w:rsid w:val="008F66F0"/>
    <w:rsid w:val="008F7DA2"/>
    <w:rsid w:val="00900605"/>
    <w:rsid w:val="00901855"/>
    <w:rsid w:val="009032C3"/>
    <w:rsid w:val="00903D04"/>
    <w:rsid w:val="00904682"/>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5C64"/>
    <w:rsid w:val="00955E6B"/>
    <w:rsid w:val="009572EC"/>
    <w:rsid w:val="00960C1F"/>
    <w:rsid w:val="0096247D"/>
    <w:rsid w:val="00962EFA"/>
    <w:rsid w:val="009639BD"/>
    <w:rsid w:val="00966223"/>
    <w:rsid w:val="00970E6C"/>
    <w:rsid w:val="0097190D"/>
    <w:rsid w:val="009732C7"/>
    <w:rsid w:val="00977586"/>
    <w:rsid w:val="0097761F"/>
    <w:rsid w:val="00981AD0"/>
    <w:rsid w:val="00981DDA"/>
    <w:rsid w:val="00983AEB"/>
    <w:rsid w:val="00987F26"/>
    <w:rsid w:val="009915AC"/>
    <w:rsid w:val="0099335E"/>
    <w:rsid w:val="00995591"/>
    <w:rsid w:val="009957B9"/>
    <w:rsid w:val="00996DC7"/>
    <w:rsid w:val="00996E12"/>
    <w:rsid w:val="00997088"/>
    <w:rsid w:val="009979E8"/>
    <w:rsid w:val="00997ACB"/>
    <w:rsid w:val="009A033F"/>
    <w:rsid w:val="009A0D67"/>
    <w:rsid w:val="009A653C"/>
    <w:rsid w:val="009A65B9"/>
    <w:rsid w:val="009A7732"/>
    <w:rsid w:val="009B08E7"/>
    <w:rsid w:val="009B1D4B"/>
    <w:rsid w:val="009B2CA6"/>
    <w:rsid w:val="009B33B9"/>
    <w:rsid w:val="009B792A"/>
    <w:rsid w:val="009C1CF7"/>
    <w:rsid w:val="009C1EB5"/>
    <w:rsid w:val="009C2DB9"/>
    <w:rsid w:val="009C3184"/>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BD1"/>
    <w:rsid w:val="00A11794"/>
    <w:rsid w:val="00A125D6"/>
    <w:rsid w:val="00A16B8B"/>
    <w:rsid w:val="00A2090B"/>
    <w:rsid w:val="00A2133B"/>
    <w:rsid w:val="00A25AC1"/>
    <w:rsid w:val="00A25C9C"/>
    <w:rsid w:val="00A26EBC"/>
    <w:rsid w:val="00A26FEE"/>
    <w:rsid w:val="00A307C0"/>
    <w:rsid w:val="00A33BCF"/>
    <w:rsid w:val="00A33C5F"/>
    <w:rsid w:val="00A36004"/>
    <w:rsid w:val="00A37CB0"/>
    <w:rsid w:val="00A40A4D"/>
    <w:rsid w:val="00A42ED5"/>
    <w:rsid w:val="00A4468A"/>
    <w:rsid w:val="00A469AB"/>
    <w:rsid w:val="00A51E16"/>
    <w:rsid w:val="00A53BD2"/>
    <w:rsid w:val="00A5480E"/>
    <w:rsid w:val="00A5492C"/>
    <w:rsid w:val="00A63137"/>
    <w:rsid w:val="00A6399A"/>
    <w:rsid w:val="00A6462F"/>
    <w:rsid w:val="00A64A1F"/>
    <w:rsid w:val="00A71B7E"/>
    <w:rsid w:val="00A7200C"/>
    <w:rsid w:val="00A7269D"/>
    <w:rsid w:val="00A7489D"/>
    <w:rsid w:val="00A7554C"/>
    <w:rsid w:val="00A75987"/>
    <w:rsid w:val="00A82BEF"/>
    <w:rsid w:val="00A82F81"/>
    <w:rsid w:val="00A83A8C"/>
    <w:rsid w:val="00A83B07"/>
    <w:rsid w:val="00A86250"/>
    <w:rsid w:val="00A868FC"/>
    <w:rsid w:val="00A86BAC"/>
    <w:rsid w:val="00A86F98"/>
    <w:rsid w:val="00A879E1"/>
    <w:rsid w:val="00A92538"/>
    <w:rsid w:val="00A941FC"/>
    <w:rsid w:val="00A9488A"/>
    <w:rsid w:val="00A96606"/>
    <w:rsid w:val="00A9695B"/>
    <w:rsid w:val="00A96A9B"/>
    <w:rsid w:val="00A978D4"/>
    <w:rsid w:val="00AA0D5D"/>
    <w:rsid w:val="00AA32BF"/>
    <w:rsid w:val="00AA3C2A"/>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0B0A"/>
    <w:rsid w:val="00AE18B6"/>
    <w:rsid w:val="00AE1F92"/>
    <w:rsid w:val="00AE257A"/>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C8D"/>
    <w:rsid w:val="00B70D18"/>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7BC9"/>
    <w:rsid w:val="00C014EA"/>
    <w:rsid w:val="00C01FB7"/>
    <w:rsid w:val="00C02E9E"/>
    <w:rsid w:val="00C060D3"/>
    <w:rsid w:val="00C0647A"/>
    <w:rsid w:val="00C10313"/>
    <w:rsid w:val="00C10AAB"/>
    <w:rsid w:val="00C10E53"/>
    <w:rsid w:val="00C110C3"/>
    <w:rsid w:val="00C1442B"/>
    <w:rsid w:val="00C15BCC"/>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FAC"/>
    <w:rsid w:val="00CD2F7B"/>
    <w:rsid w:val="00CD35AA"/>
    <w:rsid w:val="00CD3B53"/>
    <w:rsid w:val="00CD49C0"/>
    <w:rsid w:val="00CD561C"/>
    <w:rsid w:val="00CD5987"/>
    <w:rsid w:val="00CD65CA"/>
    <w:rsid w:val="00CD69A3"/>
    <w:rsid w:val="00CD7AD5"/>
    <w:rsid w:val="00CE3877"/>
    <w:rsid w:val="00CE48BF"/>
    <w:rsid w:val="00CF09B0"/>
    <w:rsid w:val="00CF18AD"/>
    <w:rsid w:val="00CF2812"/>
    <w:rsid w:val="00CF485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53C9"/>
    <w:rsid w:val="00D175AE"/>
    <w:rsid w:val="00D200F4"/>
    <w:rsid w:val="00D20986"/>
    <w:rsid w:val="00D20B5C"/>
    <w:rsid w:val="00D219AB"/>
    <w:rsid w:val="00D2376F"/>
    <w:rsid w:val="00D23770"/>
    <w:rsid w:val="00D23A92"/>
    <w:rsid w:val="00D258E9"/>
    <w:rsid w:val="00D2722D"/>
    <w:rsid w:val="00D30CF1"/>
    <w:rsid w:val="00D31ED6"/>
    <w:rsid w:val="00D32F6F"/>
    <w:rsid w:val="00D33D43"/>
    <w:rsid w:val="00D35202"/>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A68"/>
    <w:rsid w:val="00D83360"/>
    <w:rsid w:val="00D83FAB"/>
    <w:rsid w:val="00D91926"/>
    <w:rsid w:val="00D91A0D"/>
    <w:rsid w:val="00D920D4"/>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FB9"/>
    <w:rsid w:val="00DD38C4"/>
    <w:rsid w:val="00DD41B9"/>
    <w:rsid w:val="00DD6BF5"/>
    <w:rsid w:val="00DD70F0"/>
    <w:rsid w:val="00DE08ED"/>
    <w:rsid w:val="00DE0EA8"/>
    <w:rsid w:val="00DE15C9"/>
    <w:rsid w:val="00DE19CE"/>
    <w:rsid w:val="00DE2B7A"/>
    <w:rsid w:val="00DE4825"/>
    <w:rsid w:val="00DE61EB"/>
    <w:rsid w:val="00DE6656"/>
    <w:rsid w:val="00DF179A"/>
    <w:rsid w:val="00DF2C06"/>
    <w:rsid w:val="00DF4BED"/>
    <w:rsid w:val="00DF505F"/>
    <w:rsid w:val="00DF7EFC"/>
    <w:rsid w:val="00E0021C"/>
    <w:rsid w:val="00E01C67"/>
    <w:rsid w:val="00E02084"/>
    <w:rsid w:val="00E02678"/>
    <w:rsid w:val="00E026E8"/>
    <w:rsid w:val="00E02A97"/>
    <w:rsid w:val="00E039B6"/>
    <w:rsid w:val="00E052B0"/>
    <w:rsid w:val="00E05653"/>
    <w:rsid w:val="00E075F4"/>
    <w:rsid w:val="00E10E02"/>
    <w:rsid w:val="00E11F6F"/>
    <w:rsid w:val="00E12042"/>
    <w:rsid w:val="00E132AD"/>
    <w:rsid w:val="00E15642"/>
    <w:rsid w:val="00E15B53"/>
    <w:rsid w:val="00E21055"/>
    <w:rsid w:val="00E23633"/>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80836"/>
    <w:rsid w:val="00E80E63"/>
    <w:rsid w:val="00E8148B"/>
    <w:rsid w:val="00E81F11"/>
    <w:rsid w:val="00E825EA"/>
    <w:rsid w:val="00E825FA"/>
    <w:rsid w:val="00E829F8"/>
    <w:rsid w:val="00E870F7"/>
    <w:rsid w:val="00E875AF"/>
    <w:rsid w:val="00E87D6D"/>
    <w:rsid w:val="00E90F95"/>
    <w:rsid w:val="00E910F4"/>
    <w:rsid w:val="00E94114"/>
    <w:rsid w:val="00E97F3B"/>
    <w:rsid w:val="00EA03FE"/>
    <w:rsid w:val="00EA1945"/>
    <w:rsid w:val="00EA7294"/>
    <w:rsid w:val="00EA72C3"/>
    <w:rsid w:val="00EA7C2E"/>
    <w:rsid w:val="00EB06E2"/>
    <w:rsid w:val="00EB5948"/>
    <w:rsid w:val="00EB5E00"/>
    <w:rsid w:val="00EB774B"/>
    <w:rsid w:val="00EB7EEC"/>
    <w:rsid w:val="00EC04A8"/>
    <w:rsid w:val="00EC1DF0"/>
    <w:rsid w:val="00EC2177"/>
    <w:rsid w:val="00EC26E7"/>
    <w:rsid w:val="00EC4D74"/>
    <w:rsid w:val="00EC4E95"/>
    <w:rsid w:val="00EC5381"/>
    <w:rsid w:val="00EC55D9"/>
    <w:rsid w:val="00EC5986"/>
    <w:rsid w:val="00ED1584"/>
    <w:rsid w:val="00ED342B"/>
    <w:rsid w:val="00ED3A95"/>
    <w:rsid w:val="00ED4C90"/>
    <w:rsid w:val="00EE3058"/>
    <w:rsid w:val="00EE4654"/>
    <w:rsid w:val="00EE7FB6"/>
    <w:rsid w:val="00EF11E9"/>
    <w:rsid w:val="00EF1773"/>
    <w:rsid w:val="00EF19EA"/>
    <w:rsid w:val="00EF2D45"/>
    <w:rsid w:val="00EF3B8D"/>
    <w:rsid w:val="00EF4864"/>
    <w:rsid w:val="00EF4BA5"/>
    <w:rsid w:val="00EF4E51"/>
    <w:rsid w:val="00EF4FB9"/>
    <w:rsid w:val="00EF679D"/>
    <w:rsid w:val="00EF68D2"/>
    <w:rsid w:val="00EF6E97"/>
    <w:rsid w:val="00EF7D34"/>
    <w:rsid w:val="00F000A5"/>
    <w:rsid w:val="00F00FD2"/>
    <w:rsid w:val="00F0184A"/>
    <w:rsid w:val="00F02C63"/>
    <w:rsid w:val="00F02CF7"/>
    <w:rsid w:val="00F0356A"/>
    <w:rsid w:val="00F04CDC"/>
    <w:rsid w:val="00F0624E"/>
    <w:rsid w:val="00F06586"/>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237E"/>
    <w:rsid w:val="00F3460F"/>
    <w:rsid w:val="00F34EB2"/>
    <w:rsid w:val="00F35357"/>
    <w:rsid w:val="00F35892"/>
    <w:rsid w:val="00F35CBD"/>
    <w:rsid w:val="00F36956"/>
    <w:rsid w:val="00F40337"/>
    <w:rsid w:val="00F40757"/>
    <w:rsid w:val="00F41057"/>
    <w:rsid w:val="00F410FD"/>
    <w:rsid w:val="00F415DF"/>
    <w:rsid w:val="00F4472B"/>
    <w:rsid w:val="00F4533E"/>
    <w:rsid w:val="00F47920"/>
    <w:rsid w:val="00F505D1"/>
    <w:rsid w:val="00F50E63"/>
    <w:rsid w:val="00F50F0C"/>
    <w:rsid w:val="00F530C0"/>
    <w:rsid w:val="00F5311A"/>
    <w:rsid w:val="00F5341A"/>
    <w:rsid w:val="00F55A4A"/>
    <w:rsid w:val="00F5789C"/>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70E"/>
    <w:rsid w:val="00F84EEC"/>
    <w:rsid w:val="00F854AE"/>
    <w:rsid w:val="00F85F8A"/>
    <w:rsid w:val="00F87052"/>
    <w:rsid w:val="00F87460"/>
    <w:rsid w:val="00F9134D"/>
    <w:rsid w:val="00F95FF3"/>
    <w:rsid w:val="00F963DF"/>
    <w:rsid w:val="00F97FB6"/>
    <w:rsid w:val="00FA18B4"/>
    <w:rsid w:val="00FA30DA"/>
    <w:rsid w:val="00FA3D25"/>
    <w:rsid w:val="00FA584C"/>
    <w:rsid w:val="00FB159C"/>
    <w:rsid w:val="00FB1C68"/>
    <w:rsid w:val="00FB1DD0"/>
    <w:rsid w:val="00FB25D5"/>
    <w:rsid w:val="00FB2E81"/>
    <w:rsid w:val="00FB6646"/>
    <w:rsid w:val="00FB6E31"/>
    <w:rsid w:val="00FB70B5"/>
    <w:rsid w:val="00FB73DC"/>
    <w:rsid w:val="00FB7F76"/>
    <w:rsid w:val="00FC1823"/>
    <w:rsid w:val="00FC1CBE"/>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0E91"/>
    <w:rsid w:val="00FE1FC7"/>
    <w:rsid w:val="00FE262B"/>
    <w:rsid w:val="00FE293E"/>
    <w:rsid w:val="00FE38F6"/>
    <w:rsid w:val="00FE5A66"/>
    <w:rsid w:val="00FE5B06"/>
    <w:rsid w:val="00FF2968"/>
    <w:rsid w:val="00FF3197"/>
    <w:rsid w:val="00FF328F"/>
    <w:rsid w:val="00FF3C60"/>
    <w:rsid w:val="00FF4652"/>
    <w:rsid w:val="00FF520D"/>
    <w:rsid w:val="00FF5874"/>
    <w:rsid w:val="00FF65DF"/>
    <w:rsid w:val="00FF670D"/>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5452</Words>
  <Characters>31081</Characters>
  <Application>Microsoft Office Word</Application>
  <DocSecurity>0</DocSecurity>
  <Lines>259</Lines>
  <Paragraphs>72</Paragraphs>
  <ScaleCrop>false</ScaleCrop>
  <Company>a</Company>
  <LinksUpToDate>false</LinksUpToDate>
  <CharactersWithSpaces>36461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149</cp:revision>
  <cp:lastPrinted>2012-07-20T01:29:00Z</cp:lastPrinted>
  <dcterms:created xsi:type="dcterms:W3CDTF">2023-05-26T07:58:00Z</dcterms:created>
  <dcterms:modified xsi:type="dcterms:W3CDTF">2026-04-08T07:17:00Z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