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产品登记编码：Z7001625000983</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招银理财招赢日日金152号现金管理类理财计划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（产品代码：8252）</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指中国银行。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指《招银理财招赢日日金152号现金管理类理财计划产品说明书》，以及对该文件的有效修改或补充。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指作为招银理财招赢日日金152号现金管理类理财计划销售文件不可分割组成部分的风险揭示书，以及对该文件的有效修改或补充。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指由投资者和管理人签署的，作为招银理财招赢日日金152号现金管理类理财计划销售文件不可分割组成部分的《理财产品投资协议书》，以及对该文件的有效修改或补充。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指由投资者和销售服务机构签署的，作为招银理财招赢日日金152号现金管理类理财计划销售文件不可分割组成部分的《销售（代理销售）协议书》，以及对该文件的有效修改或补充。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指招银理财招赢日日金152号现金管理类理财计划。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招银理财招赢日日金152号现金管理类理财计划（产品代码：8252）</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产品登记编码：Z7001625000983，投资者可以根据该登记编码在中国理财网（网址：https://www.chinawealth.com.cn/）查询产品信息。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D份额（销售代码8252D）：非招商银行投资者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D份额：发行规模上限100亿元。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D份额：认购起点为0.01元；超出认购起点部分，须为0.01元或0.01元的整数倍。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D份额：首次申购单笔最低限额为0.01元，高于申购单笔最低限额的金额及追加申购的金额须为0.01元或0.01元的整数倍。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D份额：投资者单笔认购/申购上限为1亿元和本理财计划D份额规模上限的二者的较小值。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D份额单一投资者购买本理财计划，其持有上限为1亿元和D份额规模上限的较小值。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09日09:00到2026年02月12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2026年02月13日(如遇非工作日顺延至下一个工作日)，如产品认购期延长或提前终止，实际认购登记日以管理人公告为准。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2026年02月13日(如遇非工作日顺延至下一个工作日)，如产品认购期延长或提前终止，实际成立日以管理人公告为准。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理财计划预计存续期为30年，预计到期日为2056年02月13日(如遇非工作日顺延至下一个工作日)。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销售服务机构收取理财计划D份额销售服务费，</w:t>
            </w:r>
            <w:r>
              <w:rPr>
                <w:rFonts w:ascii="宋体" w:eastAsia="宋体" w:hAnsi="宋体" w:cs="宋体"/>
                <w:b/>
                <w:sz w:val="22"/>
                <w:u w:val="none"/>
              </w:rPr>
              <w:t xml:space="preserve">D份额销售服务费率0.30%/年，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D份额：本理财计划D份额不收取认购费。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D份额：投资者申购本理财计划无需支付申购费。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D份额：投资者赎回本理财计划D份额无需支付赎回费。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本理财计划的境内托管人为中国银行。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中国银行股份有限公司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北京市西城区复兴门内大街1号中银大厦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交通银行,浦发银行,中国银行,东莞农商银行,盛京银行,日照银行,华夏银行,赣州银行,萧山农商行,余姚农商行,瑞丰农商银行,广州银行,福建海峡银行,浙江南浔，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交通银行股份有限公司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上海市浦东新区银城中路188号交银金融大厦</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95559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上海浦东发展银行股份有限公司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上海市中山东一路12号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95528</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中国银行股份有限公司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北京市西城区复兴门内大街1号中银大厦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95566</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东莞农村商业银行股份有限公司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广东省东莞市东城区鸿福东路2号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0769-961122</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华夏银行股份有限公司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北京市东城区建国门内大街22号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95577</w:t>
            </w:r>
          </w:p>
        </w:tc>
      </w:tr>
      <w:tr>
        <w:trPr>
          <w:trHeight w:hRule="auto" w:val="0"/>
        </w:trPr>
        <w:tc>
          <w:tcPr>
            <w:tcW w:w="1556" w:type="dxa"/>
            <w:vMerge w:val="restart"/>
            <w:tcBorders/>
            <w:vAlign w:val="center"/>
          </w:tcPr>
          <w:p>
            <w:pPr>
              <w:jc w:val="center"/>
            </w:pPr>
            <w:r>
              <w:rPr>
                <w:rFonts w:ascii="宋体" w:eastAsia="宋体" w:hAnsi="宋体" w:cs="宋体"/>
                <w:sz w:val="22"/>
              </w:rPr>
              <w:t xml:space="preserve">赣州银行股份有限公司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江西省赣州市赣江源大道26号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0797-96296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浙江萧山农村商业银行股份有限公司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浙江省杭州市萧山区盈丰街道鸿宁路2288号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浙江绍兴瑞丰农村商业银行股份有限公司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浙江省绍兴市柯桥区笛扬路1363号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福建海峡银行股份有限公司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福州市台江区江滨中大道 358 号海峡银行大厦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400-893-9999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D份额产品规模上限为100亿元。</w:t>
      </w:r>
      <w:r>
        <w:rPr>
          <w:rFonts w:ascii="宋体" w:eastAsia="宋体" w:hAnsi="宋体" w:cs="宋体"/>
          <w:sz w:val="22"/>
          <w:u w:val="none"/>
        </w:rPr>
        <w:t xml:space="preserve">产品规模上限为100亿元，认购期届满前，如产品发行规模达到相应份额的规模上限，销售服务机构有权停止接收该份额的认购申请。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2026年02月09日09:00至2026年02月12日17:00。自认购之日（含）起，至认购登记日（不含）止，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本理财计划于2026年02月13日(如遇非工作日顺延至下一个工作日)进行认购登记。如产品认购期延长或提前终止，实际认购登记日以管理人公告为准。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D份额投资者首次认购单笔最低限额为0.01元，高于认购单笔最低限额的金额须为0.01元或0.01元的整数倍。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D份额投资者单笔认购上限为200万元和D份额规模上限的二者的较小值，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D份额投资者持有上限为1亿元和本理财计划D份额规模上限中二者的较小值，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D份额投资者部分撤销后剩余的各笔认购金额总和不得低于0.01元；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投资者认购本理财计划D份额无需支付认购费。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本理财计划D份额认购份额的具体计算方法如下：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认购费：本理财计划D份额不收取认购费。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D份额投资者单笔申购上限为1亿元和D份额规模上限的二者的较小值，</w:t>
      </w:r>
      <w:r>
        <w:rPr>
          <w:rFonts w:ascii="宋体" w:eastAsia="宋体" w:hAnsi="宋体" w:cs="宋体"/>
          <w:sz w:val="22"/>
          <w:u w:val="none"/>
        </w:rPr>
        <w:t xml:space="preserve">且各份额投资者应遵守单一投资者持有上限。管理人/销售服务机构有权拒绝超限部分的申请。对于管理人/销售服务机构决定拒绝的申购申请，视为申购不成功。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D份额投资者首次申购单笔最低限额为0.01元，高于申购单笔最低限额的金额及追加申购的金额须为0.01元或0.01元的整数倍。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D份额投资者如需再行申购，则申购最低金额为0.01元或0.01元的整数倍。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如赎回将导致单个D份额投资者的理财计划份额余额不足0.01份时，投资者剩余份额将被一次性全额赎回。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投资者申购本理财计划D份额无需支付申购费。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投资者赎回本理财计划D份额时无需支付赎回费。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16"/>
        <w:gridCol w:w="6368"/>
        <w:gridCol w:w="1037"/>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D份额：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D份额申购/赎回申请于T日17:00（不含）前可以撤销。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D份额申购/赎回申请于T日后第1个工作日17:00（不含）前可以撤销。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确认投资者赎回成功后，管理人将为投资者扣减份额，并将投资者应得的赎回资金（如有，下同）于开放日后5个工作日内通过销售服务机构划转至投资者账户。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本理财计划D份额申购份额的具体计算方法如下：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申购费：本理财计划D份额不收取申购费。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02月13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D份额：销售服务费率为0.30%/年，每个自然日计提，按月收取。销售服务费精确到小数点后2位，小数点2位以后舍位。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D份额每个自然日计提的销售服务费=当日理财计划D份额产品份额×0.30%÷365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销售服务机构网站、电子邮件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投资者本金和收益（如有）将在赎回确认日后5个工作日内划转至投资者账户。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2026-03-27T17:24:42Z</dcterms:created>
  <dcterms:modified xsi:type="dcterms:W3CDTF">2026-03-27T17:24:42Z</dcterms:modified>
</cp:coreProperties>
</file>