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幸福99丰裕固收763天25116期理财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幸福99丰裕固收763天25116期理财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FYG25116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Z7002225000205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2025年6月19日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2027年7月22日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2.60-2.90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670,758,097.76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120.87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670,758,097.76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655,785,360.00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1.0228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1.0228</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丰裕固收25116期A款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51,025,373.75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丰裕固收25116期B款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17,097,483.09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丰裕固收25116期C款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7,717,230.55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丰裕固收25116期D款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1.0231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1.0231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10,988,247.90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丰裕固收25116期E款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324,404,325.98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丰裕固收25116期F款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1.0231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1.0231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186,684,113.70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丰裕固收25116期P款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FYG25116P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72,841,322.79</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丰裕固收25116期A款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丰裕固收25116期B款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丰裕固收25116期C款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3.01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丰裕固收25116期D款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丰裕固收25116期E款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丰裕固收25116期F款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丰裕固收25116期P款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3.01</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搭配利率债和银行二级资本债交易，久期适中，一季度以来受信用利差小幅压缩及收益率整体下行影响，产品净值表现较好。</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整体而言，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4.91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40.89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56.19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37.13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58.94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交银信托-融诚1126号-镇海海江信托贷款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131,783,325.85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19.65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交银国信-融诚1115号-嘉兴秀湖信托贷款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111,675,248.22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16.65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22富春山居PPN002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63,341,662.19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9.44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25桐乡金控MTN001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50,491,203.42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7.53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诸暨经开-康成亨汇英-基金收益权创新19号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45,977,494.17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6.85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25盐城城南MTN001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42,641,712.82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6.36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25特钢新城MTN001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40,360,442.74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6.02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24金东城投MTN003B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31,184,453.01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4.65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24新滨江MTN001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30,561,227.67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25江宁城建PPN001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22,159,310.14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137,019,408.21</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20.43</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嘉兴市秀湖发展投资集团有限公司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交银国信-融诚1115号-嘉兴秀湖信托贷款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111,675,248.22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宁波市镇海区海江投资发展有限公司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交银信托-融诚1126号-镇海海江信托贷款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131,783,325.85</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外贸信托-承澜14-1号-上虞国投信托贷款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3,002,141.28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诸暨经开创融投资有限公司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诸暨经开-康成亨汇英-基金收益权创新19号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45,977,494.17</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象山县滨海投资有限公司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上海信托-瑞诚45号-象山滨海信托贷款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2027-03-31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20,006,379.96</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655,785,360.00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655,785,360.00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杭银理财幸福99丰裕固收763天25116期理财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3301040160015309811-5125116</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