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幸福99丰裕固收763天25121期理财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幸福99丰裕固收763天25121期理财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FYG25121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Z7002225000213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2025年6月26日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2027年7月29日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2.60-2.90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597,968,860.78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114.90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597,968,860.78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585,102,415.00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1.0220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76,600,449.21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27,702,751.95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7,773,361.93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10,845,399.99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289,214,393.00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132,824,414.45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204,221.91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丰裕固收25121期P款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FYG25121P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1.0227</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52,803,868.34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3.32</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丰裕固收25121期P款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2.86</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3.49</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2.98</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搭配利率债和银行二级资本债交易，久期适中，一季度以来受信用利差小幅压缩及收益率整体下行影响，产品净值表现较好。</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整体而言，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31.21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38.45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68.59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87,956,945.34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上海信托-瑞诚45号-象山滨海信托贷款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63,020,097.00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25常交通PPN002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51,262,332.88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35,024,981.84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32,658,258.71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32,628,159.80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25宜兴环保MTN003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30,646,319.18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25晋能电力MTN013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30,523,121.51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中信信托-新悦213号-南浔经开债权投资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26,996,500.80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24牛首山PPN002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20,428,906.85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87,022,035.92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14.55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32,628,159.80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32,658,258.71</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浙江湖州南浔经济建设开发有限公司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中信信托-新悦213号-南浔经开债权投资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2027-04-02</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26,996,500.80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35,024,981.84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87,956,945.34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63,020,097.00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585,102,415.00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585,102,415.00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杭银理财幸福99丰裕固收763天25121期理财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3301040160015309811-5125121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