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幸福99丰裕固收（稳利低波颐养款）386天25118期理财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幸福99丰裕固收（稳利低波颐养款）386天25118期理财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FYG25118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Z7002225000202</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2025年6月24日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2026年7月15日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188,760,290.08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100.34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188,760,290.08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185,376,585.00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1.0183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1.0183</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丰裕固收25118期A款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FYG25118A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7,070,231.05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丰裕固收25118期B款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69,598,467.12</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丰裕固收25118期C款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FYG25118C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3,805,590.49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丰裕固收25118期D款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28,205,729.33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丰裕固收25118期E款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FYG25118E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1.0183</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1.0183</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65,402,061.05</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丰裕固收25118期F款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FYG25118F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1.0191</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10,190.70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丰裕固收25118期G款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FYG25118G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1.0168</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12,353,968.57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丰裕固收25118期W款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FYG25118W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1.0176</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1.0176</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2,314,051.77</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丰裕固收25118期A款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丰裕固收25118期B款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丰裕固收25118期C款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丰裕固收25118期D款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2.48</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2.45</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2.45</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丰裕固收25118期E款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2.39</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2.39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丰裕固收25118期F款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2.49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丰裕固收25118期G款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2.28</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2.19</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丰裕固收25118期W款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2.40</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2.28</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2.29</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2.29</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固收类资产，债券部分以信用债为主，久期适中偏短，一季度以来受信用利差小幅压缩及收益率下行影响，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w:t>
        <w:cr/>
        <w:t xml:space="preserve">    信用债在非银欠配的逻辑下利差和收益率仍有压缩空间，但需警惕输入性通胀及政府债供给对长端的阶段性压制。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52.52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52.52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45.44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45.44</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中信信托-新悦200号-奉化区投债权投资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43,039,443.96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中信信托-新悦197号-奉化经开债权投资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43,031,116.20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22.80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23新沂02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17,937,574.68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9.50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24兰溪城投PPN002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15,602,880.21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21西咸02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15,476,470.72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8.20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24安市淮阴PPN001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15,428,106.99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21虞水01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15,374,961.73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23顺德投资MTN001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10,357,854.33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23经管02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9,290,573.26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4.92</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宁波市奉化区投资集团有限公司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中信信托-新悦200号-奉化区投债权投资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43,039,443.96</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宁波市奉化区经开控股有限公司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中信信托-新悦197号-奉化经开债权投资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2026-07-06</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43,031,116.20</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正常</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185,376,585.00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185,376,585.00</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杭银理财幸福99丰裕固收（稳利低波颐养款）386天25118期理财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3301040160015309811-5125118</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