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杭银理财幸福99半年添益1901期理财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杭银理财幸福99半年添益1901期理财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TYG6M1901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Z7002221000168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2019年1月18日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中国人民银行公布的1年期定期存款利率+0.1%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843,239,842.31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100.06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843,239,842.31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663,091,290.56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1.2716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1.2716</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半年添益1901期</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TYG6M1901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1.2715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1.2715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690,059,002.84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半年添益1901期B款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TYG6M1901B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1.2748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1.2748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27,104,727.35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半年添益1901期W款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TYG6M1901W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1.2716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1.2716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908,184.18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半年添益1901期ZA款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TYG6M1901ZA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1.2715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1.2715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42,522,669.90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半年添益1901期ZM款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TYG6M1901ZM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1.2715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1.2715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82,645,258.04</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半年添益1901期</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3.77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半年添益1901期B款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3.81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半年添益1901期W款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3.77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半年添益1901期ZA款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3.77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半年添益1901期ZM款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3.77</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内部经济环境较去年末有一定改善，目前市场对一季度实际GDP同比预测是在4.9-5.2%，较去年四季度末有明显上行。从已公布的1-2月数据来看，工业利润改善明显，规模以上工业增加值同比增6.3%；外部需求旺盛，出口持续增长，出口合计（美元计）同比增长21.8%；固定投资，由降转增至同比1.8%，特别是房地产相关投资继续筑底；消费方面，社消总额同比增2.8%，增速较去年有一定提升，结构优化。市场表现上，一季度以来债券市场利率有明显的下行，从估值来看1年至10年国债收益率下行3-12BP，曲线走平，10年国债季末收在1.82%附近；1年至5年AA+城投估值收益率喜爱选哪个12-24BP，3年期AA+城投估值在1.83%附近，信用曲线走陡，信用利差进一步压缩。但实际月度维度上，市场表现区别很大，交易的内容不同。1至2月，权益风险偏好上行。央行在1月15日国新办发布会上明确表态"降准降息还有一定空间"，并多次强调"灵活高效运用降准降息等多种货币政策工具""发挥增量政策和存量政策集成效应"，实际上传递出短期内总量宽松工具不会急于落地的信号。一季度央行未实施全面降准或降息，逆回购利率始终维持在1.40%不变。信用债长端利率有一定的下行，但是短端和去年年底相比并无明显变化。在2月末爆发伊朗以色列地缘冲突，油价翻倍上涨。在国内，和国外直接交易通胀的逻辑不同，国内债券市场收益率有非常明显的下行，是避险情绪占市场绝对主导的表现，中短期无风险利率下行10BP左右，幅度可见一斑。对应到信用债，绝对收益率同步下行，各个期限信用利差进一步压缩。产品主要配置中短久期债券资产，得益于利率下行及信用利差压缩，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外部环境存在巨大的不确定性，即战争带来的是一次性的通胀冲击，还是结构性变化下的需求萎缩将会对国内市场产生重要的影响。对应到国内，在外部通胀快速上行的情况下，国内CPI和PPI都看到了价格支撑，但相比国外，一季度利率债对于通胀的交易并不充分。叠加基本面的边际改善，二季度的利率或呈现下有底的情况。但如果战争对需求的影响是持续的、财政不做加大发力，那么利率就仍然有下行的空间，但是需要探索信用利差相对没有下行太极致的品种。较为确定的是，市场流动性预计会维持相对充裕。在投资策略上，一方面需要在债券上寻找仍然存在相对信用利差的品种，另一方面，权益市场在一季度已经历了一波“清洗”，未入市的资金充裕，可以保持乐观，择时增配相关品种做收益增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31.75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20.60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64.04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1.19</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75.13</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21工商银行二级02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30,707,509.32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3.64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24建行TLAC非资本债01A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30,540,249.86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3.62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22工行二级资本债04A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20,669,244.66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23汽车城MTN001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20,394,860.55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25建行二级资本债03BC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20,328,983.29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质押式逆回购(816001-000678)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16,248,227.44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他行存款(250725-000438)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12,503,132.73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他行存款(250725-000449)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12,499,062.47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他行存款(250725-900002)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12,499,062.47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21拱墅投发PPN002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11,274,504.90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1.34</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642,276,525.00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663,091,290.56</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r>
        <w:tblPrEx>
          <w:tblW w:w="8994" w:type="dxa"/>
          <w:tblInd w:w="67" w:type="dxa"/>
          <w:tblLayout w:type="fixed"/>
          <w:tblLook w:val="04A0"/>
        </w:tblPrEx>
        <w:trPr>
          <w:trHeight w:val="187"/>
        </w:trPr>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1</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杭州银行股份有限公司</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托管费</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105,227.75</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杭银理财有限责任公司幸福99半年添益1901期</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3301040160015309811-1001901</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