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杭银理财幸福99半年添益1902期理财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杭银理财幸福99半年添益1902期理财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TYG6M1902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Z7002221000089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2019年2月14日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1.60-2.35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588,488,035.41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588,488,035.41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462,252,110.78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1.2730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1.2730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半年添益1902期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564,460,672.79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1.2736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1.2736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12,132,705.78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半年添益1902期W款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4,039,859.12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半年添益1902期ZA款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TYG6M1902ZA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7,854,797.72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半年添益1902期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3.84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半年添益1902期W款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半年添益1902期ZA款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3.83</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内部经济环境较去年末有一定改善，目前市场对一季度实际GDP同比预测是在4.9-5.2%，较去年四季度末有明显上行。从已公布的1-2月数据来看，工业利润改善明显，规模以上工业增加值同比增6.3%；外部需求旺盛，出口持续增长，出口合计（美元计）同比增长21.8%；固定投资，由降转增至同比1.8%，特别是房地产相关投资继续筑底；消费方面，社消总额同比增2.8%，增速较去年有一定提升，结构优化。市场表现上，一季度以来债券市场利率有明显的下行，从估值来看1年至10年国债收益率下行3-12BP，曲线走平，10年国债季末收在1.82%附近；1年至5年AA+城投估值收益率喜爱选哪个12-24BP，3年期AA+城投估值在1.83%附近，信用曲线走陡，信用利差进一步压缩。但实际月度维度上，市场表现区别很大，交易的内容不同。1至2月，权益风险偏好上行。央行在1月15日国新办发布会上明确表态"降准降息还有一定空间"，并多次强调"灵活高效运用降准降息等多种货币政策工具""发挥增量政策和存量政策集成效应"，实际上传递出短期内总量宽松工具不会急于落地的信号。一季度央行未实施全面降准或降息，逆回购利率始终维持在1.40%不变。信用债长端利率有一定的下行，但是短端和去年年底相比并无明显变化。在2月末爆发伊朗以色列地缘冲突，油价翻倍上涨。在国内，和国外直接交易通胀的逻辑不同，国内债券市场收益率有非常明显的下行，是避险情绪占市场绝对主导的表现，中短期无风险利率下行10BP左右，幅度可见一斑。对应到信用债，绝对收益率同步下行，各个期限信用利差进一步压缩。产品主要配置中短久期债券资产，得益于利率下行及信用利差压缩，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外部环境存在巨大的不确定性，即战争带来的是一次性的通胀冲击，还是结构性变化下的需求萎缩将会对国内市场产生重要的影响。对应到国内，在外部通胀快速上行的情况下，国内CPI和PPI都看到了价格支撑，但相比国外，一季度利率债对于通胀的交易并不充分。叠加基本面的边际改善，二季度的利率或呈现下有底的情况。但如果战争对需求的影响是持续的、财政不做加大发力，那么利率就仍然有下行的空间，但是需要探索信用利差相对没有下行太极致的品种。较为确定的是，市场流动性预计会维持相对充裕。在投资策略上，一方面需要在债券上寻找仍然存在相对信用利差的品种，另一方面，权益市场在一季度已经历了一波“清洗”，未入市的资金充裕，可以保持乐观，择时增配相关品种做收益增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46.09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48.83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31,003,866.99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24工行TLAC非资本债01A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30,812,531.51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质押式逆回购(ZXD36H-000993)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23,342,740.19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22农行二级资本债02A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20,729,352.05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23盛裕投资PPN001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20,641,571.51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24晋江国资PPN001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20,608,277.26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22中国银行二级01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20,390,315.07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24建行TLAC非资本债01A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20,360,166.58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24湖北宏泰MTN004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20,230,990.96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21交通银行二级</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10,287,550.00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462,252,110.78</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462,252,110.78</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杭银理财有限责任公司幸福99半年添益1902期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3301040160015309811-1001902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