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D80E27" w:rsidP="00D80E27">
      <w:pPr>
        <w:jc w:val="center"/>
        <w:rPr>
          <w:rFonts w:ascii="宋体" w:eastAsia="宋体" w:hAnsi="宋体"/>
          <w:b/>
          <w:sz w:val="32"/>
          <w:szCs w:val="20"/>
        </w:rPr>
      </w:pPr>
      <w:bookmarkStart w:id="0" w:name="_Toc379618105"/>
    </w:p>
    <w:p w:rsidR="00D80E27" w:rsidP="00D80E27">
      <w:pPr>
        <w:adjustRightInd w:val="0"/>
        <w:snapToGrid w:val="0"/>
        <w:spacing w:line="460" w:lineRule="exact"/>
        <w:jc w:val="center"/>
        <w:rPr>
          <w:rFonts w:ascii="Times New Roman" w:eastAsia="方正楷体简体" w:hAnsi="Times New Roman"/>
          <w:sz w:val="24"/>
        </w:rPr>
      </w:pPr>
    </w:p>
    <w:p w:rsidR="00D80E27" w:rsidP="00D80E27"/>
    <w:p w:rsidR="00D80E27" w:rsidRPr="000064EC" w:rsidP="00D80E27">
      <w:pPr>
        <w:autoSpaceDE w:val="0"/>
        <w:autoSpaceDN w:val="0"/>
        <w:spacing w:before="220"/>
        <w:jc w:val="center"/>
        <w:rPr>
          <w:rFonts w:asciiTheme="majorEastAsia" w:eastAsiaTheme="majorEastAsia" w:hAnsiTheme="majorEastAsia" w:cs="仿宋_GB2312"/>
          <w:b/>
          <w:kern w:val="0"/>
          <w:sz w:val="52"/>
          <w:szCs w:val="52"/>
          <w:lang w:bidi="zh-CN"/>
        </w:rPr>
      </w:pPr>
      <w:r w:rsidRPr="000064EC">
        <w:rPr>
          <w:rFonts w:asciiTheme="majorEastAsia" w:eastAsiaTheme="majorEastAsia" w:hAnsiTheme="majorEastAsia" w:cs="仿宋_GB2312" w:hint="eastAsia"/>
          <w:b/>
          <w:kern w:val="0"/>
          <w:sz w:val="52"/>
          <w:szCs w:val="52"/>
          <w:lang w:bidi="zh-CN"/>
        </w:rPr>
        <w:t>杭银理财幸福99半年添益2001期理财</w:t>
      </w:r>
    </w:p>
    <w:p w:rsidR="00D80E27" w:rsidRPr="000064EC" w:rsidP="00D80E27">
      <w:pPr>
        <w:autoSpaceDE w:val="0"/>
        <w:autoSpaceDN w:val="0"/>
        <w:spacing w:line="360" w:lineRule="auto"/>
        <w:jc w:val="center"/>
        <w:rPr>
          <w:rFonts w:asciiTheme="majorEastAsia" w:eastAsiaTheme="majorEastAsia" w:hAnsiTheme="majorEastAsia" w:cs="仿宋_GB2312"/>
          <w:b/>
          <w:bCs/>
          <w:kern w:val="0"/>
          <w:sz w:val="44"/>
          <w:szCs w:val="44"/>
          <w:lang w:bidi="zh-CN"/>
        </w:rPr>
      </w:pPr>
      <w:r w:rsidRPr="000064EC">
        <w:rPr>
          <w:rFonts w:asciiTheme="majorEastAsia" w:eastAsiaTheme="majorEastAsia" w:hAnsiTheme="majorEastAsia" w:cs="仿宋_GB2312" w:hint="eastAsia"/>
          <w:b/>
          <w:bCs/>
          <w:kern w:val="0"/>
          <w:sz w:val="44"/>
          <w:szCs w:val="44"/>
          <w:lang w:bidi="zh-CN"/>
        </w:rPr>
        <w:t>2026</w:t>
      </w:r>
      <w:r>
        <w:rPr>
          <w:b/>
          <w:sz w:val="44"/>
        </w:rPr>
        <w:t>年第</w:t>
      </w:r>
      <w:r>
        <w:rPr>
          <w:b/>
          <w:sz w:val="44"/>
        </w:rPr>
        <w:t>1</w:t>
      </w:r>
      <w:r>
        <w:rPr>
          <w:b/>
          <w:sz w:val="44"/>
        </w:rPr>
        <w:t>季度报告</w:t>
      </w:r>
    </w:p>
    <w:p w:rsidR="00D80E27" w:rsidP="00D80E27">
      <w:pPr>
        <w:jc w:val="center"/>
        <w:rPr>
          <w:rFonts w:ascii="宋体" w:eastAsia="宋体" w:hAnsi="宋体"/>
          <w:color w:val="0000FF"/>
          <w:kern w:val="0"/>
          <w:sz w:val="18"/>
          <w:szCs w:val="20"/>
        </w:rPr>
      </w:pPr>
    </w:p>
    <w:p w:rsidR="00D80E27" w:rsidP="00D80E27">
      <w:pPr>
        <w:jc w:val="center"/>
        <w:rPr>
          <w:rFonts w:ascii="Times New Roman" w:eastAsia="宋体" w:hAnsi="Times New Roman"/>
          <w:sz w:val="24"/>
        </w:rPr>
      </w:pPr>
    </w:p>
    <w:p w:rsidR="00D80E27" w:rsidP="00D80E27">
      <w:pPr>
        <w:jc w:val="center"/>
        <w:rPr>
          <w:rFonts w:eastAsia="宋体"/>
          <w:sz w:val="24"/>
        </w:rPr>
      </w:pPr>
    </w:p>
    <w:p w:rsidR="00D80E27" w:rsidP="00D80E27">
      <w:pPr>
        <w:jc w:val="center"/>
        <w:rPr>
          <w:rFonts w:eastAsia="宋体"/>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产品管理人：</w:t>
      </w:r>
      <w:r>
        <w:rPr>
          <w:sz w:val="24"/>
        </w:rPr>
        <w:t>杭银理财有限责任公司</w:t>
      </w: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产品托管人：</w:t>
      </w:r>
      <w:r>
        <w:rPr>
          <w:sz w:val="24"/>
        </w:rPr>
        <w:t>杭州银行股份有限公司</w:t>
      </w: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2026年4月14日</w:t>
      </w: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P="00D80E27">
      <w:pPr>
        <w:jc w:val="center"/>
        <w:rPr>
          <w:rFonts w:ascii="宋体" w:eastAsia="宋体" w:hAnsi="宋体"/>
        </w:rPr>
      </w:pPr>
    </w:p>
    <w:p w:rsidR="00D80E27" w:rsidP="00D80E27">
      <w:pPr>
        <w:jc w:val="center"/>
        <w:rPr>
          <w:rFonts w:ascii="宋体" w:eastAsia="宋体" w:hAnsi="宋体"/>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 w:name="_GoBack"/>
      <w:r w:rsidRPr="000064EC">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产品托管人根据本</w:t>
            </w:r>
            <w:r w:rsidRPr="000064EC">
              <w:rPr>
                <w:rFonts w:asciiTheme="minorEastAsia" w:eastAsiaTheme="minorEastAsia" w:hAnsiTheme="minorEastAsia" w:cs="仿宋" w:hint="eastAsia"/>
                <w:color w:val="000000"/>
                <w:sz w:val="24"/>
              </w:rPr>
              <w:t>产品</w:t>
            </w:r>
            <w:r w:rsidRPr="000064EC">
              <w:rPr>
                <w:rFonts w:asciiTheme="minorEastAsia" w:eastAsiaTheme="minorEastAsia" w:hAnsiTheme="minorEastAsia" w:cs="仿宋" w:hint="eastAsia"/>
                <w:color w:val="404040"/>
                <w:kern w:val="0"/>
                <w:sz w:val="24"/>
              </w:rPr>
              <w:t>合同规定，于</w:t>
            </w:r>
            <w:r>
              <w:rPr>
                <w:color w:val="404040"/>
                <w:sz w:val="24"/>
              </w:rPr>
              <w:t>2026年3月31日</w:t>
            </w:r>
            <w:r w:rsidRPr="000064EC">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产品的过往业绩并不代表其未来表现。投资有风险，投资者在</w:t>
            </w:r>
            <w:r w:rsidRPr="000064EC">
              <w:rPr>
                <w:rFonts w:asciiTheme="minorEastAsia" w:eastAsiaTheme="minorEastAsia" w:hAnsiTheme="minorEastAsia" w:cs="仿宋" w:hint="eastAsia"/>
                <w:color w:val="404040"/>
                <w:kern w:val="0"/>
                <w:sz w:val="24"/>
              </w:rPr>
              <w:t>作出</w:t>
            </w:r>
            <w:r w:rsidRPr="000064EC">
              <w:rPr>
                <w:rFonts w:asciiTheme="minorEastAsia" w:eastAsiaTheme="minorEastAsia" w:hAnsiTheme="minorEastAsia" w:cs="仿宋" w:hint="eastAsia"/>
                <w:color w:val="404040"/>
                <w:kern w:val="0"/>
                <w:sz w:val="24"/>
              </w:rPr>
              <w:t>投资决策前应仔细阅读本</w:t>
            </w:r>
            <w:r w:rsidRPr="000064EC">
              <w:rPr>
                <w:rFonts w:asciiTheme="minorEastAsia" w:eastAsiaTheme="minorEastAsia" w:hAnsiTheme="minorEastAsia" w:cs="仿宋" w:hint="eastAsia"/>
                <w:color w:val="000000"/>
                <w:sz w:val="24"/>
              </w:rPr>
              <w:t>产品</w:t>
            </w:r>
            <w:r w:rsidRPr="000064EC">
              <w:rPr>
                <w:rFonts w:asciiTheme="minorEastAsia" w:eastAsiaTheme="minorEastAsia" w:hAnsiTheme="minorEastAsia" w:cs="仿宋" w:hint="eastAsia"/>
                <w:color w:val="404040"/>
                <w:kern w:val="0"/>
                <w:sz w:val="24"/>
              </w:rPr>
              <w:t>的产品说明书。</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本报告中财务资料未经审计。</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sz w:val="24"/>
              </w:rPr>
            </w:pPr>
            <w:r w:rsidRPr="000064EC">
              <w:rPr>
                <w:rFonts w:asciiTheme="minorEastAsia" w:eastAsiaTheme="minorEastAsia" w:hAnsiTheme="minorEastAsia" w:cs="仿宋" w:hint="eastAsia"/>
                <w:color w:val="404040"/>
                <w:kern w:val="0"/>
                <w:sz w:val="24"/>
              </w:rPr>
              <w:t>本报告期自</w:t>
            </w:r>
            <w:r>
              <w:rPr>
                <w:color w:val="404040"/>
                <w:sz w:val="24"/>
              </w:rPr>
              <w:t>2026年1月1日</w:t>
            </w:r>
            <w:r w:rsidRPr="000064EC">
              <w:rPr>
                <w:rFonts w:asciiTheme="minorEastAsia" w:eastAsiaTheme="minorEastAsia" w:hAnsiTheme="minorEastAsia" w:cs="仿宋" w:hint="eastAsia"/>
                <w:color w:val="404040"/>
                <w:kern w:val="0"/>
                <w:sz w:val="24"/>
              </w:rPr>
              <w:t>起至</w:t>
            </w:r>
            <w:r>
              <w:rPr>
                <w:color w:val="404040"/>
                <w:sz w:val="24"/>
              </w:rPr>
              <w:t>2026年3月31日</w:t>
            </w:r>
            <w:r w:rsidRPr="000064EC">
              <w:rPr>
                <w:rFonts w:asciiTheme="minorEastAsia" w:eastAsiaTheme="minorEastAsia" w:hAnsiTheme="minorEastAsia" w:cs="仿宋" w:hint="eastAsia"/>
                <w:color w:val="404040"/>
                <w:kern w:val="0"/>
                <w:sz w:val="24"/>
              </w:rPr>
              <w:t>止。</w:t>
            </w:r>
          </w:p>
        </w:tc>
      </w:tr>
    </w:tbl>
    <w:p w:rsidR="0014030B" w:rsidRPr="000064EC">
      <w:pPr>
        <w:rPr>
          <w:rStyle w:val="a1"/>
          <w:rFonts w:asciiTheme="minorEastAsia" w:eastAsiaTheme="minorEastAsia" w:hAnsiTheme="minorEastAsia" w:cs="仿宋"/>
          <w:color w:val="0000FF"/>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2" w:name="_Toc67575498"/>
      <w:r w:rsidRPr="000064EC">
        <w:rPr>
          <w:rFonts w:asciiTheme="minorEastAsia" w:eastAsiaTheme="minorEastAsia" w:hAnsiTheme="minorEastAsia" w:cs="仿宋" w:hint="eastAsia"/>
          <w:sz w:val="24"/>
        </w:rPr>
        <w:t>§2  产品概况</w:t>
      </w:r>
      <w:bookmarkEnd w:id="2"/>
    </w:p>
    <w:p w:rsidR="0014030B" w:rsidRPr="000064EC">
      <w:pPr>
        <w:adjustRightInd w:val="0"/>
        <w:snapToGrid w:val="0"/>
        <w:spacing w:line="440" w:lineRule="exact"/>
        <w:outlineLvl w:val="2"/>
        <w:rPr>
          <w:rFonts w:asciiTheme="minorEastAsia" w:eastAsiaTheme="minorEastAsia" w:hAnsiTheme="minorEastAsia" w:cs="仿宋"/>
          <w:b/>
          <w:sz w:val="24"/>
        </w:rPr>
      </w:pPr>
      <w:bookmarkStart w:id="3" w:name="_Toc1870029270"/>
      <w:bookmarkStart w:id="4" w:name="_Toc354129567"/>
      <w:r w:rsidRPr="000064EC">
        <w:rPr>
          <w:rFonts w:asciiTheme="minorEastAsia" w:eastAsiaTheme="minorEastAsia" w:hAnsiTheme="minorEastAsia" w:cs="仿宋" w:hint="eastAsia"/>
          <w:b/>
          <w:sz w:val="24"/>
        </w:rPr>
        <w:t>2.1 产品基本情况</w:t>
      </w:r>
      <w:bookmarkEnd w:id="3"/>
      <w:bookmarkEnd w:id="4"/>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杭银理财幸福99半年添益2001期理财</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TYG6M2001</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Z7002221000170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2020年1月8日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开放式净值型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中国人民银行公布的1年期定期存款利率+0.1%</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报告期末产品规模（</w:t>
            </w:r>
            <w:r w:rsidRPr="000064EC" w:rsidR="002511E7">
              <w:rPr>
                <w:rFonts w:asciiTheme="minorEastAsia" w:eastAsiaTheme="minorEastAsia" w:hAnsiTheme="minorEastAsia" w:cs="仿宋" w:hint="eastAsia"/>
                <w:sz w:val="24"/>
              </w:rPr>
              <w:t>元</w:t>
            </w:r>
            <w:r w:rsidRPr="000064EC">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611,521,689.05</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104.64</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二级（中低）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杭州银行股份有限公司</w:t>
            </w:r>
          </w:p>
        </w:tc>
      </w:tr>
    </w:tbl>
    <w:p w:rsidR="0014030B"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*杠杆水平=总资产/理财产品净资产，理财产品净资产=总资产-总负债</w:t>
      </w:r>
    </w:p>
    <w:p w:rsidR="0014030B" w:rsidRPr="000064EC">
      <w:pPr>
        <w:adjustRightInd w:val="0"/>
        <w:snapToGrid w:val="0"/>
        <w:spacing w:line="360" w:lineRule="exact"/>
        <w:rPr>
          <w:rFonts w:asciiTheme="minorEastAsia" w:eastAsiaTheme="minorEastAsia" w:hAnsiTheme="minorEastAsia" w:cs="仿宋"/>
          <w:color w:val="00000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5" w:name="_Toc1158767045"/>
      <w:r w:rsidRPr="000064EC">
        <w:rPr>
          <w:rFonts w:asciiTheme="minorEastAsia" w:eastAsiaTheme="minorEastAsia" w:hAnsiTheme="minorEastAsia" w:cs="仿宋" w:hint="eastAsia"/>
          <w:sz w:val="24"/>
        </w:rPr>
        <w:t>§3  主要财务指标和产品净值表现</w:t>
      </w:r>
      <w:bookmarkEnd w:id="5"/>
    </w:p>
    <w:p w:rsidR="0014030B" w:rsidRPr="000064EC">
      <w:pPr>
        <w:adjustRightInd w:val="0"/>
        <w:snapToGrid w:val="0"/>
        <w:spacing w:line="440" w:lineRule="exact"/>
        <w:outlineLvl w:val="2"/>
        <w:rPr>
          <w:rFonts w:asciiTheme="minorEastAsia" w:eastAsiaTheme="minorEastAsia" w:hAnsiTheme="minorEastAsia" w:cs="仿宋"/>
          <w:b/>
          <w:sz w:val="24"/>
        </w:rPr>
      </w:pPr>
      <w:bookmarkStart w:id="6" w:name="_Toc2016014319"/>
      <w:r w:rsidRPr="000064EC">
        <w:rPr>
          <w:rFonts w:asciiTheme="minorEastAsia" w:eastAsiaTheme="minorEastAsia" w:hAnsiTheme="minorEastAsia" w:cs="仿宋" w:hint="eastAsia"/>
          <w:b/>
          <w:sz w:val="24"/>
        </w:rPr>
        <w:t>3.1 主要财务指标和产品净值表现</w:t>
      </w:r>
      <w:bookmarkEnd w:id="6"/>
    </w:p>
    <w:p w:rsidR="0014030B" w:rsidRPr="000064EC">
      <w:pPr>
        <w:adjustRightInd w:val="0"/>
        <w:snapToGrid w:val="0"/>
        <w:spacing w:line="440" w:lineRule="exact"/>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报告期</w:t>
            </w:r>
          </w:p>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w:t>
            </w:r>
            <w:r>
              <w:rPr>
                <w:color w:val="000000"/>
                <w:sz w:val="24"/>
              </w:rPr>
              <w:t>2026年1月1日</w:t>
            </w:r>
            <w:r w:rsidRPr="000064EC">
              <w:rPr>
                <w:rFonts w:asciiTheme="minorEastAsia" w:eastAsiaTheme="minorEastAsia" w:hAnsiTheme="minorEastAsia" w:cs="仿宋" w:hint="eastAsia"/>
                <w:color w:val="000000"/>
                <w:kern w:val="0"/>
                <w:sz w:val="24"/>
              </w:rPr>
              <w:t>-</w:t>
            </w:r>
            <w:r>
              <w:rPr>
                <w:color w:val="000000"/>
                <w:sz w:val="24"/>
              </w:rPr>
              <w:t>2026年3月31日</w:t>
            </w:r>
            <w:r w:rsidRPr="000064EC">
              <w:rPr>
                <w:rFonts w:asciiTheme="minorEastAsia" w:eastAsiaTheme="minorEastAsia" w:hAnsiTheme="minorEastAsia" w:cs="仿宋" w:hint="eastAsia"/>
                <w:color w:val="000000"/>
                <w:kern w:val="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611,521,689.05</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Fonts w:asciiTheme="minorEastAsia" w:eastAsiaTheme="minorEastAsia" w:hAnsiTheme="minorEastAsia" w:cs="仿宋"/>
                <w:sz w:val="24"/>
              </w:rPr>
            </w:pPr>
            <w:r w:rsidRPr="000064EC">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499,923,409.95</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1.2232</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1.2232</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FF"/>
                <w:sz w:val="24"/>
              </w:rPr>
            </w:pPr>
            <w:r w:rsidRPr="000064EC">
              <w:rPr>
                <w:rFonts w:asciiTheme="minorEastAsia" w:eastAsiaTheme="minorEastAsia" w:hAnsiTheme="minorEastAsia"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份额</w:t>
            </w:r>
          </w:p>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资产净值</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半年添益2001期</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TYG6M2001</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1.2232</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1.2232</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524,818,609.06</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半年添益2001期B款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TYG6M2001B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1.2239</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1.2239</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18,687,617.03</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半年添益2001期W款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TYG6M2001W</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1.2232</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1.2232</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559,218.01</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半年添益2001期ZA款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TYG6M2001ZA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1.2231</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1.2231</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21,086,993.13</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半年添益2001期ZM款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TYG6M2001ZM</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1.2231</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1.2231</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46,369,251.82</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7" w:name="_Toc155677067"/>
      <w:r w:rsidRPr="000064EC">
        <w:rPr>
          <w:rFonts w:asciiTheme="minorEastAsia" w:eastAsiaTheme="minorEastAsia" w:hAnsiTheme="minorEastAsia" w:cs="仿宋" w:hint="eastAsia"/>
          <w:b/>
          <w:sz w:val="24"/>
        </w:rPr>
        <w:t>3.</w:t>
      </w:r>
      <w:r w:rsidRPr="000064EC">
        <w:rPr>
          <w:rFonts w:asciiTheme="minorEastAsia" w:eastAsiaTheme="minorEastAsia" w:hAnsiTheme="minorEastAsia" w:cs="仿宋"/>
          <w:b/>
          <w:sz w:val="24"/>
        </w:rPr>
        <w:t>2</w:t>
      </w:r>
      <w:r w:rsidRPr="000064EC">
        <w:rPr>
          <w:rFonts w:asciiTheme="minorEastAsia" w:eastAsiaTheme="minorEastAsia" w:hAnsiTheme="minorEastAsia" w:cs="仿宋" w:hint="eastAsia"/>
          <w:b/>
          <w:sz w:val="24"/>
        </w:rPr>
        <w:t xml:space="preserve"> 产品收益表现</w:t>
      </w:r>
      <w:bookmarkEnd w:id="7"/>
    </w:p>
    <w:tbl>
      <w:tblPr>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55"/>
        <w:gridCol w:w="1235"/>
        <w:gridCol w:w="1315"/>
        <w:gridCol w:w="1212"/>
        <w:gridCol w:w="1800"/>
      </w:tblGrid>
      <w:tr>
        <w:tblPrEx>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产品名称</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一个月年化收益率</w:t>
            </w:r>
            <w:r w:rsidRPr="000064EC">
              <w:rPr>
                <w:rFonts w:asciiTheme="minorEastAsia" w:eastAsiaTheme="minorEastAsia" w:hAnsiTheme="minorEastAsia" w:cs="仿宋" w:hint="eastAsia"/>
                <w:kern w:val="0"/>
                <w:sz w:val="24"/>
              </w:rPr>
              <w:t>（%）</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三个月年化收益率</w:t>
            </w:r>
            <w:r w:rsidRPr="000064EC">
              <w:rPr>
                <w:rFonts w:asciiTheme="minorEastAsia" w:eastAsiaTheme="minorEastAsia" w:hAnsiTheme="minorEastAsia" w:cs="仿宋" w:hint="eastAsia"/>
                <w:kern w:val="0"/>
                <w:sz w:val="24"/>
              </w:rPr>
              <w:t>（%）</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六个月年化收益率</w:t>
            </w:r>
            <w:r w:rsidRPr="000064EC">
              <w:rPr>
                <w:rFonts w:asciiTheme="minorEastAsia" w:eastAsiaTheme="minorEastAsia" w:hAnsiTheme="minorEastAsia" w:cs="仿宋" w:hint="eastAsia"/>
                <w:kern w:val="0"/>
                <w:sz w:val="24"/>
              </w:rPr>
              <w:t>（%）</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近一年年化收益率</w:t>
            </w:r>
            <w:r w:rsidRPr="000064EC">
              <w:rPr>
                <w:rFonts w:asciiTheme="minorEastAsia" w:eastAsiaTheme="minorEastAsia" w:hAnsiTheme="minorEastAsia" w:cs="仿宋" w:hint="eastAsia"/>
                <w:kern w:val="0"/>
                <w:sz w:val="24"/>
              </w:rPr>
              <w:t>（%）</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color w:val="000000"/>
                <w:kern w:val="0"/>
                <w:sz w:val="24"/>
              </w:rPr>
              <w:t>成立</w:t>
            </w:r>
            <w:r w:rsidRPr="000064EC">
              <w:rPr>
                <w:rFonts w:asciiTheme="minorEastAsia" w:eastAsiaTheme="minorEastAsia" w:hAnsiTheme="minorEastAsia" w:cs="仿宋" w:hint="eastAsia"/>
                <w:color w:val="000000"/>
                <w:kern w:val="0"/>
                <w:sz w:val="24"/>
              </w:rPr>
              <w:t>以来年化收益率</w:t>
            </w:r>
            <w:r w:rsidRPr="000064EC">
              <w:rPr>
                <w:rFonts w:asciiTheme="minorEastAsia" w:eastAsiaTheme="minorEastAsia" w:hAnsiTheme="minorEastAsia" w:cs="仿宋" w:hint="eastAsia"/>
                <w:kern w:val="0"/>
                <w:sz w:val="24"/>
              </w:rPr>
              <w:t>（%）</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半年添益2001期</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2.29</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2.54</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2.11</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2.14</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3.58</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半年添益2001期B款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2.39</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2.63</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2.21</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2.20</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3.59</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半年添益2001期W款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2.29</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2.54</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2.09</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2.13</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3.58</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半年添益2001期ZA款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2.29</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2.50</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2.09</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2.13</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3.58</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半年添益2001期ZM款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2.29</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2.50</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2.09</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2.13</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3.58</w:t>
            </w:r>
          </w:p>
        </w:tc>
      </w:tr>
    </w:tbl>
    <w:p w:rsidR="0014030B"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w:t>
      </w:r>
      <w:r w:rsidRPr="000064EC">
        <w:rPr>
          <w:rFonts w:asciiTheme="minorEastAsia" w:eastAsiaTheme="minorEastAsia" w:hAnsiTheme="minorEastAsia" w:cs="仿宋" w:hint="eastAsia"/>
          <w:sz w:val="24"/>
        </w:rPr>
        <w:t>折合年化收益率</w:t>
      </w:r>
      <w:r w:rsidRPr="000064EC">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0064EC">
        <w:rPr>
          <w:rFonts w:asciiTheme="minorEastAsia" w:eastAsiaTheme="minorEastAsia" w:hAnsiTheme="minorEastAsia" w:cs="仿宋" w:hint="eastAsia"/>
          <w:sz w:val="24"/>
        </w:rPr>
        <w:br/>
        <w:t>*产品过往业绩相关数据已经产品托管人复核；</w:t>
      </w:r>
    </w:p>
    <w:p w:rsidR="00701460"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w:t>
      </w:r>
      <w:r w:rsidRPr="000064EC">
        <w:rPr>
          <w:rFonts w:asciiTheme="minorEastAsia" w:eastAsiaTheme="minorEastAsia" w:hAnsiTheme="minorEastAsia" w:hint="eastAsia"/>
          <w:sz w:val="24"/>
        </w:rPr>
        <w:t>理财产品</w:t>
      </w:r>
      <w:r w:rsidRPr="000064EC" w:rsidR="001F0D85">
        <w:rPr>
          <w:rFonts w:asciiTheme="minorEastAsia" w:eastAsiaTheme="minorEastAsia" w:hAnsiTheme="minorEastAsia" w:hint="eastAsia"/>
          <w:sz w:val="24"/>
        </w:rPr>
        <w:t>过往业绩不代表其未来的表现及收益，理财非存款，市场有风险，投资须</w:t>
      </w:r>
      <w:r w:rsidRPr="000064EC">
        <w:rPr>
          <w:rFonts w:asciiTheme="minorEastAsia" w:eastAsiaTheme="minorEastAsia" w:hAnsiTheme="minorEastAsia" w:hint="eastAsia"/>
          <w:sz w:val="24"/>
        </w:rPr>
        <w:t>谨慎。</w:t>
      </w:r>
    </w:p>
    <w:p w:rsidR="0014030B" w:rsidRPr="000064EC">
      <w:pPr>
        <w:adjustRightInd w:val="0"/>
        <w:snapToGrid w:val="0"/>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8" w:name="_Toc829383023"/>
      <w:r w:rsidRPr="000064EC">
        <w:rPr>
          <w:rFonts w:asciiTheme="minorEastAsia" w:eastAsiaTheme="minorEastAsia" w:hAnsiTheme="minorEastAsia" w:cs="仿宋" w:hint="eastAsia"/>
          <w:sz w:val="24"/>
        </w:rPr>
        <w:t>§4  投资组合报告</w:t>
      </w:r>
      <w:bookmarkEnd w:id="8"/>
    </w:p>
    <w:p w:rsidR="0014030B" w:rsidRPr="000064EC">
      <w:pPr>
        <w:adjustRightInd w:val="0"/>
        <w:snapToGrid w:val="0"/>
        <w:spacing w:line="440" w:lineRule="exact"/>
        <w:outlineLvl w:val="2"/>
        <w:rPr>
          <w:rFonts w:asciiTheme="minorEastAsia" w:eastAsiaTheme="minorEastAsia" w:hAnsiTheme="minorEastAsia" w:cs="仿宋"/>
          <w:b/>
          <w:sz w:val="24"/>
        </w:rPr>
      </w:pPr>
      <w:bookmarkStart w:id="9" w:name="_Toc124114884"/>
      <w:r w:rsidRPr="000064EC">
        <w:rPr>
          <w:rFonts w:asciiTheme="minorEastAsia" w:eastAsiaTheme="minorEastAsia" w:hAnsiTheme="minorEastAsia" w:cs="仿宋" w:hint="eastAsia"/>
          <w:b/>
          <w:sz w:val="24"/>
        </w:rPr>
        <w:t>4.1 报告期内产品投资策略回顾</w:t>
      </w:r>
      <w:bookmarkEnd w:id="9"/>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一季度内部经济环境较去年末有一定改善，目前市场对一季度实际GDP同比预测是在4.9-5.2%，较去年四季度末有明显上行。从已公布的1-2月数据来看，工业利润改善明显，规模以上工业增加值同比增6.3%；外部需求旺盛，出口持续增长，出口合计（美元计）同比增长21.8%；固定投资，由降转增至同比1.8%，特别是房地产相关投资继续筑底；消费方面，社消总额同比增2.8%，增速较去年有一定提升，结构优化。市场表现上，一季度以来债券市场利率有明显的下行，从估值来看1年至10年国债收益率下行3-12BP，曲线走平，10年国债季末收在1.82%附近；1年至5年AA+城投估值收益率喜爱选哪个12-24BP，3年期AA+城投估值在1.83%附近，信用曲线走陡，信用利差进一步压缩。但实际月度维度上，市场表现区别很大，交易的内容不同。1至2月，权益风险偏好上行。央行在1月15日国新办发布会上明确表态"降准降息还有一定空间"，并多次强调"灵活高效运用降准降息等多种货币政策工具""发挥增量政策和存量政策集成效应"，实际上传递出短期内总量宽松工具不会急于落地的信号。一季度央行未实施全面降准或降息，逆回购利率始终维持在1.40%不变。信用债长端利率有一定的下行，但是短端和去年年底相比并无明显变化。在2月末爆发伊朗以色列地缘冲突，油价翻倍上涨。在国内，和国外直接交易通胀的逻辑不同，国内债券市场收益率有非常明显的下行，是避险情绪占市场绝对主导的表现，中短期无风险利率下行10BP左右，幅度可见一斑。对应到信用债，绝对收益率同步下行，各个期限信用利差进一步压缩。产品主要配置中短久期债券资产，得益于利率下行及信用利差压缩，产品净值整体保持了较好的表现。</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0" w:name="_Toc792234151"/>
      <w:r w:rsidRPr="000064EC">
        <w:rPr>
          <w:rFonts w:asciiTheme="minorEastAsia" w:eastAsiaTheme="minorEastAsia" w:hAnsiTheme="minorEastAsia" w:cs="仿宋" w:hint="eastAsia"/>
          <w:b/>
          <w:sz w:val="24"/>
        </w:rPr>
        <w:t>4.2产品未来展望</w:t>
      </w:r>
      <w:bookmarkEnd w:id="10"/>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展望2026年二季度，外部环境存在巨大的不确定性，即战争带来的是一次性的通胀冲击，还是结构性变化下的需求萎缩将会对国内市场产生重要的影响。对应到国内，在外部通胀快速上行的情况下，国内CPI和PPI都看到了价格支撑，但相比国外，一季度利率债对于通胀的交易并不充分。叠加基本面的边际改善，二季度的利率或呈现下有底的情况。但如果战争对需求的影响是持续的、财政不做加大发力，那么利率就仍然有下行的空间，但是需要探索信用利差相对没有下行太极致的品种。较为确定的是，市场流动性预计会维持相对充裕。在投资策略上，一方面需要在债券上寻找仍然存在相对信用利差的品种，另一方面，权益市场在一季度已经历了一波“清洗”，未入市的资金充裕，可以保持乐观，择时增配相关品种做收益增厚。</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1" w:name="_Toc680764457"/>
      <w:r w:rsidRPr="000064EC">
        <w:rPr>
          <w:rFonts w:asciiTheme="minorEastAsia" w:eastAsiaTheme="minorEastAsia" w:hAnsiTheme="minorEastAsia" w:cs="仿宋" w:hint="eastAsia"/>
          <w:b/>
          <w:sz w:val="24"/>
        </w:rPr>
        <w:t>4.3投资组合的流动性风险分析</w:t>
      </w:r>
      <w:bookmarkEnd w:id="11"/>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主要直接或者间接投资于固定收益类资产（包括债券类资产、非标准化债权类资产）及权益类资产。产品所投资的债券资产流动性状况良好，所投资非标准化债权资产（如有）期限与产品单个运作周期匹配，正常情况下能够及时变现资产，筹集资金，满足本产品的投资者赎回需求或其他支付要求。产品所投资资管计划运作规范，能够通过申赎安排满足本产品流动性需求。权益持仓精选流动性较好品种，确保本产品资产的变现能力与投资者赎回需求匹配。</w:t>
        <w:cr/>
        <w:t xml:space="preserve">    报告期内，本产品组合资产的流动性与产品的申赎安排相匹配，未发生重大流动性风险事件。管理人将继续密切关注市场变化，做好产品端现金流的跟踪与研判，通过合理安排投资品种和期限结构、监控组合资金头寸等方式，确保产品的流动性风险得到有效管理。</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2" w:name="_Toc1962841230"/>
      <w:r w:rsidRPr="000064EC">
        <w:rPr>
          <w:rFonts w:asciiTheme="minorEastAsia" w:eastAsiaTheme="minorEastAsia" w:hAnsiTheme="minorEastAsia" w:cs="仿宋" w:hint="eastAsia"/>
          <w:b/>
          <w:sz w:val="24"/>
        </w:rPr>
        <w:t>4.4 报告期末投资组合分类</w:t>
      </w:r>
      <w:bookmarkEnd w:id="12"/>
    </w:p>
    <w:tbl>
      <w:tblPr>
        <w:tblW w:w="9024" w:type="dxa"/>
        <w:tblInd w:w="-5" w:type="dxa"/>
        <w:tblLayout w:type="fixed"/>
        <w:tblCellMar>
          <w:left w:w="0" w:type="dxa"/>
          <w:right w:w="0" w:type="dxa"/>
        </w:tblCellMar>
        <w:tblLook w:val="04A0"/>
      </w:tblPr>
      <w:tblGrid>
        <w:gridCol w:w="406"/>
        <w:gridCol w:w="4082"/>
        <w:gridCol w:w="2268"/>
        <w:gridCol w:w="2268"/>
      </w:tblGrid>
      <w:tr w:rsidTr="009F3208">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14030B" w:rsidRPr="000064EC" w:rsidP="009F3208">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期末</w:t>
            </w:r>
            <w:r w:rsidRPr="000064EC">
              <w:rPr>
                <w:rFonts w:asciiTheme="minorEastAsia" w:eastAsiaTheme="minorEastAsia" w:hAnsiTheme="minorEastAsia" w:cs="仿宋" w:hint="eastAsia"/>
                <w:sz w:val="24"/>
              </w:rPr>
              <w:t>穿透前占总</w:t>
            </w:r>
            <w:r w:rsidRPr="000064EC">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0.34</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0.57</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45.72</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66.67</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31.19</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1.57</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1.57</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52.37</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100.00</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3" w:name="_Toc1258005047"/>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5</w:t>
      </w:r>
      <w:r w:rsidRPr="000064EC">
        <w:rPr>
          <w:rFonts w:asciiTheme="minorEastAsia" w:eastAsiaTheme="minorEastAsia" w:hAnsiTheme="minorEastAsia" w:cs="仿宋" w:hint="eastAsia"/>
          <w:b/>
          <w:sz w:val="24"/>
        </w:rPr>
        <w:t>报告期末投资前十名资产明细</w:t>
      </w:r>
      <w:bookmarkEnd w:id="13"/>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国元信托-安鼎10188-北京未科城发信托贷款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200,466,294.60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32.78</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21中国银行二级03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25,650,967.47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4.19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22工商银行二级03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21,069,188.49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3.45</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23浦口交通MTN002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20,612,280.00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3.37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24中行TLAC非资本债01A</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20,538,869.04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3.36</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24建行TLAC非资本债01A</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20,360,166.58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3.33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24襄阳住房PPN001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20,286,970.96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3.32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23红谷滩PPN001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10,653,692.35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1.74</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22农行二级资本债02A</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10,364,676.03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1.69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22工行二级资本债04A</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10,334,622.33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1.69</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4" w:name="_Toc1314320214"/>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6</w:t>
      </w:r>
      <w:r w:rsidRPr="000064EC">
        <w:rPr>
          <w:rFonts w:asciiTheme="minorEastAsia" w:eastAsiaTheme="minorEastAsia" w:hAnsiTheme="minorEastAsia" w:cs="仿宋" w:hint="eastAsia"/>
          <w:b/>
          <w:sz w:val="24"/>
        </w:rPr>
        <w:t>报告期融资情况</w:t>
      </w:r>
      <w:bookmarkEnd w:id="14"/>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28,006,031.15</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4.58</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5" w:name="_Toc481074947"/>
      <w:bookmarkStart w:id="16" w:name="_Toc763043656"/>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7</w:t>
      </w:r>
      <w:r w:rsidRPr="000064EC">
        <w:rPr>
          <w:rFonts w:asciiTheme="minorEastAsia" w:eastAsiaTheme="minorEastAsia" w:hAnsiTheme="minorEastAsia" w:cs="仿宋" w:hint="eastAsia"/>
          <w:b/>
          <w:sz w:val="24"/>
        </w:rPr>
        <w:t>报告期末投资非标准化债权资产</w:t>
      </w:r>
      <w:bookmarkEnd w:id="15"/>
      <w:r w:rsidRPr="000064EC">
        <w:rPr>
          <w:rFonts w:asciiTheme="minorEastAsia" w:eastAsiaTheme="minorEastAsia" w:hAnsiTheme="minorEastAsia" w:cs="仿宋" w:hint="eastAsia"/>
          <w:b/>
          <w:sz w:val="24"/>
        </w:rPr>
        <w:t>情况</w:t>
      </w:r>
      <w:bookmarkEnd w:id="16"/>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color w:val="FF0000"/>
                <w:sz w:val="24"/>
              </w:rPr>
            </w:pPr>
            <w:r w:rsidRPr="000064EC">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风险状况</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北京未来科学城发展集团有限公司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国元信托-安鼎10188-北京未科城发信托贷款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2026-08-24</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200,466,294.60</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bl>
    <w:p w:rsidR="0014030B" w:rsidRPr="000064EC">
      <w:pPr>
        <w:adjustRightInd w:val="0"/>
        <w:snapToGrid w:val="0"/>
        <w:spacing w:line="380" w:lineRule="exact"/>
        <w:rPr>
          <w:rFonts w:asciiTheme="minorEastAsia" w:eastAsiaTheme="minorEastAsia" w:hAnsiTheme="minorEastAsia" w:cs="仿宋"/>
          <w:color w:val="0000FF"/>
          <w:kern w:val="0"/>
          <w:sz w:val="24"/>
          <w:highlight w:val="yellow"/>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7" w:name="_Toc1849870155"/>
      <w:r w:rsidRPr="000064EC">
        <w:rPr>
          <w:rFonts w:asciiTheme="minorEastAsia" w:eastAsiaTheme="minorEastAsia" w:hAnsiTheme="minorEastAsia" w:cs="仿宋" w:hint="eastAsia"/>
          <w:sz w:val="24"/>
        </w:rPr>
        <w:t>§5 产品份额变动</w:t>
      </w:r>
      <w:bookmarkEnd w:id="17"/>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righ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545,981,302.49</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righ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499,923,409.95</w:t>
            </w:r>
          </w:p>
        </w:tc>
      </w:tr>
    </w:tbl>
    <w:p w:rsidR="0014030B" w:rsidRPr="000064EC">
      <w:pPr>
        <w:widowControl/>
        <w:adjustRightInd w:val="0"/>
        <w:snapToGrid w:val="0"/>
        <w:jc w:val="left"/>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8" w:name="_Toc1646937466"/>
      <w:r w:rsidRPr="000064EC">
        <w:rPr>
          <w:rFonts w:asciiTheme="minorEastAsia" w:eastAsiaTheme="minorEastAsia" w:hAnsiTheme="minorEastAsia" w:cs="仿宋" w:hint="eastAsia"/>
          <w:sz w:val="24"/>
        </w:rPr>
        <w:t>§6 托管人报告</w:t>
      </w:r>
      <w:bookmarkEnd w:id="18"/>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本报告期内，</w:t>
      </w:r>
      <w:r>
        <w:rPr>
          <w:sz w:val="24"/>
        </w:rPr>
        <w:t>杭州银行股份有限公司</w:t>
      </w:r>
      <w:r w:rsidRPr="000064EC">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14030B" w:rsidRPr="000064EC">
      <w:pPr>
        <w:adjustRightInd w:val="0"/>
        <w:snapToGrid w:val="0"/>
        <w:rPr>
          <w:rFonts w:asciiTheme="minorEastAsia" w:eastAsiaTheme="minorEastAsia" w:hAnsiTheme="minorEastAsia" w:cs="仿宋"/>
          <w:bCs/>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9" w:name="_Toc1161264879"/>
      <w:r w:rsidRPr="000064EC">
        <w:rPr>
          <w:rFonts w:asciiTheme="minorEastAsia" w:eastAsiaTheme="minorEastAsia" w:hAnsiTheme="minorEastAsia" w:cs="仿宋" w:hint="eastAsia"/>
          <w:sz w:val="24"/>
        </w:rPr>
        <w:t>§7 报告期内关联交易情况</w:t>
      </w:r>
      <w:bookmarkEnd w:id="19"/>
    </w:p>
    <w:p w:rsidR="0014030B" w:rsidRPr="000064EC">
      <w:pPr>
        <w:adjustRightInd w:val="0"/>
        <w:snapToGrid w:val="0"/>
        <w:spacing w:line="440" w:lineRule="exact"/>
        <w:outlineLvl w:val="2"/>
        <w:rPr>
          <w:rFonts w:asciiTheme="minorEastAsia" w:eastAsiaTheme="minorEastAsia" w:hAnsiTheme="minorEastAsia" w:cs="仿宋"/>
          <w:b/>
          <w:sz w:val="24"/>
        </w:rPr>
      </w:pPr>
      <w:bookmarkStart w:id="20" w:name="_Toc1047437417"/>
      <w:r w:rsidRPr="000064EC">
        <w:rPr>
          <w:rFonts w:asciiTheme="minorEastAsia" w:eastAsiaTheme="minorEastAsia" w:hAnsiTheme="minorEastAsia" w:cs="仿宋" w:hint="eastAsia"/>
          <w:b/>
          <w:sz w:val="24"/>
        </w:rPr>
        <w:t>7.1 产品投资于关联</w:t>
      </w:r>
      <w:r w:rsidRPr="000064EC">
        <w:rPr>
          <w:rFonts w:asciiTheme="minorEastAsia" w:eastAsiaTheme="minorEastAsia" w:hAnsiTheme="minorEastAsia" w:cs="仿宋" w:hint="eastAsia"/>
          <w:b/>
          <w:sz w:val="24"/>
        </w:rPr>
        <w:t>方发行</w:t>
      </w:r>
      <w:r w:rsidRPr="000064EC">
        <w:rPr>
          <w:rFonts w:asciiTheme="minorEastAsia" w:eastAsiaTheme="minorEastAsia" w:hAnsiTheme="minorEastAsia" w:cs="仿宋" w:hint="eastAsia"/>
          <w:b/>
          <w:sz w:val="24"/>
        </w:rPr>
        <w:t>或承销的证券、资产管理产品，或其他关联交易</w:t>
      </w:r>
      <w:bookmarkEnd w:id="20"/>
    </w:p>
    <w:p w:rsidR="0014030B" w:rsidRPr="000064EC">
      <w:pPr>
        <w:adjustRightInd w:val="0"/>
        <w:snapToGrid w:val="0"/>
        <w:spacing w:line="440" w:lineRule="exact"/>
        <w:ind w:firstLine="6240" w:firstLineChars="2600"/>
        <w:jc w:val="right"/>
        <w:rPr>
          <w:rFonts w:asciiTheme="minorEastAsia" w:eastAsiaTheme="minorEastAsia" w:hAnsiTheme="minorEastAsia" w:cs="仿宋"/>
          <w:b/>
          <w:sz w:val="24"/>
        </w:rPr>
      </w:pPr>
      <w:r w:rsidRPr="000064EC">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序号</w:t>
            </w:r>
          </w:p>
        </w:tc>
        <w:tc>
          <w:tcPr>
            <w:tcW w:w="1605"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关联方</w:t>
            </w:r>
          </w:p>
        </w:tc>
        <w:tc>
          <w:tcPr>
            <w:tcW w:w="1401"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资产名称</w:t>
            </w:r>
          </w:p>
        </w:tc>
        <w:tc>
          <w:tcPr>
            <w:tcW w:w="791"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资产类型</w:t>
            </w:r>
          </w:p>
        </w:tc>
        <w:tc>
          <w:tcPr>
            <w:tcW w:w="75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交易类型</w:t>
            </w:r>
          </w:p>
        </w:tc>
        <w:tc>
          <w:tcPr>
            <w:tcW w:w="190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交易金额（</w:t>
            </w:r>
            <w:r w:rsidRPr="000064EC">
              <w:rPr>
                <w:rFonts w:asciiTheme="minorEastAsia" w:eastAsiaTheme="minorEastAsia" w:hAnsiTheme="minorEastAsia" w:cs="仿宋" w:hint="eastAsia"/>
                <w:sz w:val="24"/>
              </w:rPr>
              <w:t>元</w:t>
            </w:r>
            <w:r w:rsidRPr="000064EC">
              <w:rPr>
                <w:rFonts w:asciiTheme="minorEastAsia" w:eastAsiaTheme="minorEastAsia" w:hAnsiTheme="minorEastAsia" w:cs="仿宋" w:hint="eastAsia"/>
                <w:color w:val="000000"/>
                <w:kern w:val="0"/>
                <w:sz w:val="24"/>
              </w:rPr>
              <w:t>）</w:t>
            </w:r>
          </w:p>
        </w:tc>
        <w:tc>
          <w:tcPr>
            <w:tcW w:w="1905"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份额</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21" w:name="_Toc1357213060"/>
      <w:r w:rsidRPr="000064EC">
        <w:rPr>
          <w:rFonts w:asciiTheme="minorEastAsia" w:eastAsiaTheme="minorEastAsia" w:hAnsiTheme="minorEastAsia"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序号</w:t>
            </w:r>
          </w:p>
        </w:tc>
        <w:tc>
          <w:tcPr>
            <w:tcW w:w="2958"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关联方</w:t>
            </w:r>
          </w:p>
        </w:tc>
        <w:tc>
          <w:tcPr>
            <w:tcW w:w="2202"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费用类型</w:t>
            </w:r>
          </w:p>
        </w:tc>
        <w:tc>
          <w:tcPr>
            <w:tcW w:w="3140"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交易金额（</w:t>
            </w:r>
            <w:r>
              <w:rPr>
                <w:color w:val="000000"/>
                <w:sz w:val="24"/>
              </w:rPr>
              <w:t>元</w:t>
            </w:r>
            <w:r>
              <w:rPr>
                <w:color w:val="000000"/>
                <w:sz w:val="24"/>
              </w:rPr>
              <w:t>）</w:t>
            </w:r>
          </w:p>
        </w:tc>
      </w:tr>
      <w:tr>
        <w:tblPrEx>
          <w:tblW w:w="8994" w:type="dxa"/>
          <w:tblInd w:w="67" w:type="dxa"/>
          <w:tblLayout w:type="fixed"/>
          <w:tblLook w:val="04A0"/>
        </w:tblPrEx>
        <w:trPr>
          <w:trHeight w:val="187"/>
        </w:trPr>
        <w:tc>
          <w:tcPr>
            <w:tcW w:w="694" w:type="dxa"/>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1</w:t>
            </w:r>
          </w:p>
        </w:tc>
        <w:tc>
          <w:tcPr>
            <w:tcW w:w="2958"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杭州银行股份有限公司</w:t>
            </w:r>
          </w:p>
        </w:tc>
        <w:tc>
          <w:tcPr>
            <w:tcW w:w="2202"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托管费</w:t>
            </w:r>
          </w:p>
        </w:tc>
        <w:tc>
          <w:tcPr>
            <w:tcW w:w="3140"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85,998.27</w:t>
            </w:r>
          </w:p>
        </w:tc>
      </w:tr>
    </w:tbl>
    <w:p w:rsidR="0014030B" w:rsidRPr="000064EC">
      <w:pPr>
        <w:widowControl/>
        <w:adjustRightInd w:val="0"/>
        <w:snapToGrid w:val="0"/>
        <w:ind w:firstLine="480" w:firstLineChars="200"/>
        <w:jc w:val="left"/>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atLeast"/>
        <w:jc w:val="center"/>
        <w:rPr>
          <w:rFonts w:asciiTheme="minorEastAsia" w:eastAsiaTheme="minorEastAsia" w:hAnsiTheme="minorEastAsia" w:cs="仿宋"/>
          <w:bCs/>
          <w:sz w:val="24"/>
        </w:rPr>
      </w:pPr>
      <w:bookmarkStart w:id="22" w:name="_Toc108600986"/>
      <w:r w:rsidRPr="000064EC">
        <w:rPr>
          <w:rFonts w:asciiTheme="minorEastAsia" w:eastAsiaTheme="minorEastAsia" w:hAnsiTheme="minorEastAsia" w:cs="仿宋" w:hint="eastAsia"/>
          <w:bCs/>
          <w:sz w:val="24"/>
        </w:rPr>
        <w:t>§</w:t>
      </w:r>
      <w:r w:rsidRPr="000064EC">
        <w:rPr>
          <w:rFonts w:asciiTheme="minorEastAsia" w:eastAsiaTheme="minorEastAsia" w:hAnsiTheme="minorEastAsia" w:cs="仿宋"/>
          <w:bCs/>
          <w:sz w:val="24"/>
        </w:rPr>
        <w:t>8</w:t>
      </w:r>
      <w:r w:rsidRPr="000064EC">
        <w:rPr>
          <w:rFonts w:asciiTheme="minorEastAsia" w:eastAsiaTheme="minorEastAsia" w:hAnsiTheme="minorEastAsia" w:cs="仿宋" w:hint="eastAsia"/>
          <w:bCs/>
          <w:sz w:val="24"/>
        </w:rPr>
        <w:t xml:space="preserve"> 投资账户信息</w:t>
      </w:r>
      <w:bookmarkEnd w:id="22"/>
    </w:p>
    <w:p w:rsidR="0014030B" w:rsidRPr="000064EC">
      <w:pPr>
        <w:rPr>
          <w:rFonts w:asciiTheme="minorEastAsia" w:eastAsiaTheme="minorEastAsia" w:hAnsiTheme="minorEastAsia"/>
        </w:rPr>
      </w:pPr>
    </w:p>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户名</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杭银理财有限责任公司幸福99半年添益第2001期</w:t>
            </w:r>
          </w:p>
        </w:tc>
      </w:tr>
      <w:tr>
        <w:tblPrEx>
          <w:tblW w:w="8983" w:type="dxa"/>
          <w:tblInd w:w="65" w:type="dxa"/>
          <w:tblLayout w:type="fixed"/>
          <w:tblLook w:val="04A0"/>
        </w:tblPrEx>
        <w:trPr>
          <w:trHeight w:val="179"/>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账号</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3301040160015309811-332001</w:t>
            </w:r>
          </w:p>
        </w:tc>
      </w:tr>
      <w:tr>
        <w:tblPrEx>
          <w:tblW w:w="8983" w:type="dxa"/>
          <w:tblInd w:w="65" w:type="dxa"/>
          <w:tblLayout w:type="fixed"/>
          <w:tblLook w:val="04A0"/>
        </w:tblPrEx>
        <w:trPr>
          <w:trHeight w:val="163"/>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开户行</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杭州银行总行营业部</w:t>
            </w:r>
          </w:p>
        </w:tc>
      </w:tr>
    </w:tbl>
    <w:p w:rsidR="0014030B" w:rsidRPr="000064EC">
      <w:pPr>
        <w:widowControl/>
        <w:adjustRightInd w:val="0"/>
        <w:snapToGrid w:val="0"/>
        <w:ind w:firstLine="480" w:firstLineChars="200"/>
        <w:jc w:val="left"/>
        <w:rPr>
          <w:rFonts w:asciiTheme="minorEastAsia" w:eastAsiaTheme="minorEastAsia" w:hAnsiTheme="minorEastAsia" w:cs="仿宋"/>
          <w:color w:val="404040"/>
          <w:kern w:val="0"/>
          <w:sz w:val="24"/>
        </w:rPr>
      </w:pPr>
    </w:p>
    <w:p w:rsidR="0014030B" w:rsidRPr="000064EC">
      <w:pPr>
        <w:ind w:left="360"/>
        <w:jc w:val="right"/>
        <w:rPr>
          <w:rFonts w:asciiTheme="minorEastAsia" w:eastAsiaTheme="minorEastAsia" w:hAnsiTheme="minorEastAsia" w:cs="仿宋"/>
          <w:sz w:val="24"/>
        </w:rPr>
      </w:pPr>
    </w:p>
    <w:p w:rsidR="0014030B" w:rsidRPr="000064EC">
      <w:pPr>
        <w:ind w:left="36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杭银理财</w:t>
      </w:r>
      <w:r w:rsidRPr="000064EC">
        <w:rPr>
          <w:rFonts w:asciiTheme="minorEastAsia" w:eastAsiaTheme="minorEastAsia" w:hAnsiTheme="minorEastAsia" w:cs="仿宋" w:hint="eastAsia"/>
          <w:sz w:val="24"/>
        </w:rPr>
        <w:t>有限责任公司</w:t>
      </w:r>
    </w:p>
    <w:p w:rsidR="0014030B" w:rsidRPr="000064EC">
      <w:pPr>
        <w:jc w:val="right"/>
        <w:rPr>
          <w:rFonts w:asciiTheme="minorEastAsia" w:eastAsiaTheme="minorEastAsia" w:hAnsiTheme="minorEastAsia"/>
          <w:sz w:val="24"/>
        </w:rPr>
      </w:pPr>
      <w:r w:rsidRPr="000064EC">
        <w:rPr>
          <w:rFonts w:asciiTheme="minorEastAsia" w:eastAsiaTheme="minorEastAsia" w:hAnsiTheme="minorEastAsia" w:cs="仿宋" w:hint="eastAsia"/>
          <w:sz w:val="24"/>
        </w:rPr>
        <w:t>2026年4月14日</w:t>
      </w:r>
    </w:p>
    <w:p w:rsidR="0014030B" w:rsidRPr="000064EC">
      <w:pPr>
        <w:rPr>
          <w:rFonts w:asciiTheme="minorEastAsia" w:eastAsiaTheme="minorEastAsia" w:hAnsiTheme="minorEastAsia"/>
        </w:rPr>
      </w:pPr>
    </w:p>
    <w:bookmarkEnd w:id="1"/>
    <w:p w:rsidR="0014030B" w:rsidRPr="000064EC">
      <w:pPr>
        <w:rPr>
          <w:rFonts w:asciiTheme="minorEastAsia" w:eastAsiaTheme="minorEastAsia" w:hAnsiTheme="minorEastAsia"/>
        </w:rPr>
      </w:pPr>
    </w:p>
    <w:sectPr>
      <w:headerReference w:type="default" r:id="rId6"/>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4030B">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064EC"/>
    <w:rsid w:val="00017702"/>
    <w:rsid w:val="000F2819"/>
    <w:rsid w:val="00120305"/>
    <w:rsid w:val="00134D0D"/>
    <w:rsid w:val="0014030B"/>
    <w:rsid w:val="001757E3"/>
    <w:rsid w:val="0018698C"/>
    <w:rsid w:val="00193057"/>
    <w:rsid w:val="001F0D85"/>
    <w:rsid w:val="001F6316"/>
    <w:rsid w:val="00205A23"/>
    <w:rsid w:val="002511E7"/>
    <w:rsid w:val="00260BF6"/>
    <w:rsid w:val="002F014C"/>
    <w:rsid w:val="003D3797"/>
    <w:rsid w:val="004458C8"/>
    <w:rsid w:val="00461C5A"/>
    <w:rsid w:val="00475B00"/>
    <w:rsid w:val="005A6D80"/>
    <w:rsid w:val="005F727E"/>
    <w:rsid w:val="006C1F4E"/>
    <w:rsid w:val="006E38F7"/>
    <w:rsid w:val="00701460"/>
    <w:rsid w:val="00761119"/>
    <w:rsid w:val="007D72E4"/>
    <w:rsid w:val="00815E4F"/>
    <w:rsid w:val="0082523D"/>
    <w:rsid w:val="008444DB"/>
    <w:rsid w:val="00886687"/>
    <w:rsid w:val="00990402"/>
    <w:rsid w:val="009F3208"/>
    <w:rsid w:val="00AA1E04"/>
    <w:rsid w:val="00AB1208"/>
    <w:rsid w:val="00B43FDA"/>
    <w:rsid w:val="00BC29D8"/>
    <w:rsid w:val="00C30F1B"/>
    <w:rsid w:val="00CA2B83"/>
    <w:rsid w:val="00CE5B30"/>
    <w:rsid w:val="00D80E27"/>
    <w:rsid w:val="00EE58CB"/>
    <w:rsid w:val="00FB089E"/>
    <w:rsid w:val="0281406F"/>
    <w:rsid w:val="04F90740"/>
    <w:rsid w:val="0B4F5179"/>
    <w:rsid w:val="0D276FB6"/>
    <w:rsid w:val="0F081F97"/>
    <w:rsid w:val="0F1B1610"/>
    <w:rsid w:val="0F467395"/>
    <w:rsid w:val="11B304D2"/>
    <w:rsid w:val="134F425C"/>
    <w:rsid w:val="18306633"/>
    <w:rsid w:val="19015A62"/>
    <w:rsid w:val="1EBA48BA"/>
    <w:rsid w:val="1F1B4E17"/>
    <w:rsid w:val="2406178F"/>
    <w:rsid w:val="2C6C7276"/>
    <w:rsid w:val="2CA7307C"/>
    <w:rsid w:val="30B35F02"/>
    <w:rsid w:val="35CE5CC4"/>
    <w:rsid w:val="39656063"/>
    <w:rsid w:val="3DA52D7D"/>
    <w:rsid w:val="41377245"/>
    <w:rsid w:val="41DC4D17"/>
    <w:rsid w:val="47DE7A2F"/>
    <w:rsid w:val="48D23207"/>
    <w:rsid w:val="4D1E00DE"/>
    <w:rsid w:val="4DEBD764"/>
    <w:rsid w:val="4FB86BC8"/>
    <w:rsid w:val="50895907"/>
    <w:rsid w:val="510B520C"/>
    <w:rsid w:val="51D66B08"/>
    <w:rsid w:val="52C05AE2"/>
    <w:rsid w:val="53197A4B"/>
    <w:rsid w:val="59093C68"/>
    <w:rsid w:val="5A5A130E"/>
    <w:rsid w:val="5C722391"/>
    <w:rsid w:val="6087643C"/>
    <w:rsid w:val="6283238F"/>
    <w:rsid w:val="66953356"/>
    <w:rsid w:val="67272BEB"/>
    <w:rsid w:val="694E5BC9"/>
    <w:rsid w:val="6B9A0CA2"/>
    <w:rsid w:val="6BB637C3"/>
    <w:rsid w:val="6BD40231"/>
    <w:rsid w:val="70496C0D"/>
    <w:rsid w:val="71A85C11"/>
    <w:rsid w:val="7A9E1EC8"/>
    <w:rsid w:val="7ED25C5F"/>
    <w:rsid w:val="7EE22D8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docId w15:val="{107908E1-047F-426B-A32C-CD733074D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header" Target="header1.xml" /><Relationship Id="rId7" Type="http://schemas.openxmlformats.org/officeDocument/2006/relationships/theme" Target="theme/theme1.xml" /><Relationship Id="rId8"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A9FA1C-98C0-4AF1-96D4-0111AB001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421</Words>
  <Characters>2403</Characters>
  <Application>Microsoft Office Word</Application>
  <DocSecurity>0</DocSecurity>
  <Lines>20</Lines>
  <Paragraphs>5</Paragraphs>
  <ScaleCrop>false</ScaleCrop>
  <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hspcadmin</cp:lastModifiedBy>
  <cp:revision>29</cp:revision>
  <dcterms:created xsi:type="dcterms:W3CDTF">2023-04-14T06:44:00Z</dcterms:created>
  <dcterms:modified xsi:type="dcterms:W3CDTF">2025-07-30T09:43:00Z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