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杭银理财幸福99半年添益2002期理财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杭银理财幸福99半年添益2002期理财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TYG6M2002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Z7002221000171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2020年1月23日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中国人民银行公布的1年期定期存款利率+0.1%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603,407,113.78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100.03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603,407,113.78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493,267,848.40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1.2232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1.2232</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半年添益2002期</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TYG6M2002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1.2232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1.2232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512,950,852.42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半年添益2002期B款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TYG6M2002B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1.2262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1.2262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13,589,657.73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半年添益2002期W款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TYG6M2002W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1.2231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1.2231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81,634.91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半年添益2002期ZA款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TYG6M2002ZA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1.2231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1.2231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41,451,373.23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半年添益2002期ZM款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TYG6M2002ZM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1.2231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1.2231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35,333,595.49</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半年添益2002期</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3.61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半年添益2002期B款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3.65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半年添益2002期W款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3.60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半年添益2002期ZA款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3.60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半年添益2002期ZM款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3.60</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内部经济环境较去年末有一定改善，目前市场对一季度实际GDP同比预测是在4.9-5.2%，较去年四季度末有明显上行。从已公布的1-2月数据来看，工业利润改善明显，规模以上工业增加值同比增6.3%；外部需求旺盛，出口持续增长，出口合计（美元计）同比增长21.8%；固定投资，由降转增至同比1.8%，特别是房地产相关投资继续筑底；消费方面，社消总额同比增2.8%，增速较去年有一定提升，结构优化。市场表现上，一季度以来债券市场利率有明显的下行，从估值来看1年至10年国债收益率下行3-12BP，曲线走平，10年国债季末收在1.82%附近；1年至5年AA+城投估值收益率喜爱选哪个12-24BP，3年期AA+城投估值在1.83%附近，信用曲线走陡，信用利差进一步压缩。但实际月度维度上，市场表现区别很大，交易的内容不同。1至2月，权益风险偏好上行。央行在1月15日国新办发布会上明确表态"降准降息还有一定空间"，并多次强调"灵活高效运用降准降息等多种货币政策工具""发挥增量政策和存量政策集成效应"，实际上传递出短期内总量宽松工具不会急于落地的信号。一季度央行未实施全面降准或降息，逆回购利率始终维持在1.40%不变。信用债长端利率有一定的下行，但是短端和去年年底相比并无明显变化。在2月末爆发伊朗以色列地缘冲突，油价翻倍上涨。在国内，和国外直接交易通胀的逻辑不同，国内债券市场收益率有非常明显的下行，是避险情绪占市场绝对主导的表现，中短期无风险利率下行10BP左右，幅度可见一斑。对应到信用债，绝对收益率同步下行，各个期限信用利差进一步压缩。产品主要配置中短久期债券资产，得益于利率下行及信用利差压缩，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外部环境存在巨大的不确定性，即战争带来的是一次性的通胀冲击，还是结构性变化下的需求萎缩将会对国内市场产生重要的影响。对应到国内，在外部通胀快速上行的情况下，国内CPI和PPI都看到了价格支撑，但相比国外，一季度利率债对于通胀的交易并不充分。叠加基本面的边际改善，二季度的利率或呈现下有底的情况。但如果战争对需求的影响是持续的、财政不做加大发力，那么利率就仍然有下行的空间，但是需要探索信用利差相对没有下行太极致的品种。较为确定的是，市场流动性预计会维持相对充裕。在投资策略上，一方面需要在债券上寻找仍然存在相对信用利差的品种，另一方面，权益市场在一季度已经历了一波“清洗”，未入市的资金充裕，可以保持乐观，择时增配相关品种做收益增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0.60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13.81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74.86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8.05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66.15</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21邮储银行二级01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41,130,179.73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6.82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22工商银行二级03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21,069,188.49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22农业银行二级01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20,985,916.71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24建行TLAC非资本债01A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20,360,166.58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23临平交通PPN003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15,408,134.59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建信天添益货币C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14,920,694.25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平安财富宝货币</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14,919,895.29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富国安益货币B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14,913,149.48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21交通银行二级</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10,287,550.00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24慈溪交通PPN001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10,279,635.48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555,446,084.56</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493,267,848.40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r>
        <w:tblPrEx>
          <w:tblW w:w="8994" w:type="dxa"/>
          <w:tblInd w:w="67" w:type="dxa"/>
          <w:tblLayout w:type="fixed"/>
          <w:tblLook w:val="04A0"/>
        </w:tblPrEx>
        <w:trPr>
          <w:trHeight w:val="187"/>
        </w:trPr>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1</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杭州银行股份有限公司</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托管费</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87,544.95</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杭银理财有限责任公司幸福99半年添益第2002期</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3301040160015309811-332002</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