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杭银理财幸福99半年添益2004期理财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杭银理财幸福99半年添益2004期理财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TYG6M2004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Z7002221000091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2020年2月7日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中国人民银行公布的1年期定期存款利率+0.1%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672,648,252.89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672,648,252.89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551,059,285.81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1.2206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1.2206</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半年添益2004期</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TYG6M2004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1.2203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1.2203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532,442,492.67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半年添益2004期B款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TYG6M2004B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67,720,293.84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半年添益2004期W款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TYG6M2004W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1.2205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1.2205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806,733.33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半年添益2004期ZA款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TYG6M2004ZA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1.2202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1.2202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32,240,005.19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半年添益2004期ZM款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TYG6M2004ZM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1.2203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1.2203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39,438,727.86</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半年添益2004期</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3.58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半年添益2004期B款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3.63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半年添益2004期W款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3.58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半年添益2004期ZA款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3.58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半年添益2004期ZM款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3.58</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内部经济环境较去年末有一定改善，目前市场对一季度实际GDP同比预测是在4.9-5.2%，较去年四季度末有明显上行。从已公布的1-2月数据来看，工业利润改善明显，规模以上工业增加值同比增6.3%；外部需求旺盛，出口持续增长，出口合计（美元计）同比增长21.8%；固定投资，由降转增至同比1.8%，特别是房地产相关投资继续筑底；消费方面，社消总额同比增2.8%，增速较去年有一定提升，结构优化。市场表现上，一季度以来债券市场利率有明显的下行，从估值来看1年至10年国债收益率下行3-12BP，曲线走平，10年国债季末收在1.82%附近；1年至5年AA+城投估值收益率喜爱选哪个12-24BP，3年期AA+城投估值在1.83%附近，信用曲线走陡，信用利差进一步压缩。但实际月度维度上，市场表现区别很大，交易的内容不同。1至2月，权益风险偏好上行。央行在1月15日国新办发布会上明确表态"降准降息还有一定空间"，并多次强调"灵活高效运用降准降息等多种货币政策工具""发挥增量政策和存量政策集成效应"，实际上传递出短期内总量宽松工具不会急于落地的信号。一季度央行未实施全面降准或降息，逆回购利率始终维持在1.40%不变。信用债长端利率有一定的下行，但是短端和去年年底相比并无明显变化。在2月末爆发伊朗以色列地缘冲突，油价翻倍上涨。在国内，和国外直接交易通胀的逻辑不同，国内债券市场收益率有非常明显的下行，是避险情绪占市场绝对主导的表现，中短期无风险利率下行10BP左右，幅度可见一斑。对应到信用债，绝对收益率同步下行，各个期限信用利差进一步压缩。产品主要配置中短久期债券资产，得益于利率下行及信用利差压缩，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外部环境存在巨大的不确定性，即战争带来的是一次性的通胀冲击，还是结构性变化下的需求萎缩将会对国内市场产生重要的影响。对应到国内，在外部通胀快速上行的情况下，国内CPI和PPI都看到了价格支撑，但相比国外，一季度利率债对于通胀的交易并不充分。叠加基本面的边际改善，二季度的利率或呈现下有底的情况。但如果战争对需求的影响是持续的、财政不做加大发力，那么利率就仍然有下行的空间，但是需要探索信用利差相对没有下行太极致的品种。较为确定的是，市场流动性预计会维持相对充裕。在投资策略上，一方面需要在债券上寻找仍然存在相对信用利差的品种，另一方面，权益市场在一季度已经历了一波“清洗”，未入市的资金充裕，可以保持乐观，择时增配相关品种做收益增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0.83</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16.93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41.22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71.94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9.24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57.95</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24中行TLAC非资本债01A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41,077,738.08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21邮储银行二级01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30,847,634.79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24工行TLAC非资本债01A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30,812,531.51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23红谷滩PPN001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21,344,255.97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23桐庐投资PPN002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20,516,559.73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21工商银行二级02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20,471,672.88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23吴中经发PPN005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20,405,091.23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建信天添益货币C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14,904,795.78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平安财富宝货币</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14,903,997.67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富国安益货币B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14,897,259.06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589,823,199.05</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551,059,285.81</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r>
        <w:tblPrEx>
          <w:tblW w:w="8994" w:type="dxa"/>
          <w:tblInd w:w="67" w:type="dxa"/>
          <w:tblLayout w:type="fixed"/>
          <w:tblLook w:val="04A0"/>
        </w:tblPrEx>
        <w:trPr>
          <w:trHeight w:val="187"/>
        </w:trPr>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1</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杭州银行股份有限公司</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托管费</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92,805.70</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杭银理财有限责任公司幸福99半年添益第2004期</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3301040160015309811-332004</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