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杭银理财幸福99半年添益2005期理财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杭银理财幸福99半年添益2005期理财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TYG6M2005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Z7002221000172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2020年2月19日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1.60-2.35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439,026,788.60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439,026,788.60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361,527,929.13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1.2143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1.2143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半年添益2005期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431,722,199.99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半年添益2005期B款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629,141.75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半年添益2005期W款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154,953.41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半年添益2005期ZA款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TYG6M2005ZA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1.2142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6,520,493.45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半年添益2005期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半年添益2005期B款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0.80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半年添益2005期W款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半年添益2005期ZA款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3.50</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内部经济环境较去年末有一定改善，目前市场对一季度实际GDP同比预测是在4.9-5.2%，较去年四季度末有明显上行。从已公布的1-2月数据来看，工业利润改善明显，规模以上工业增加值同比增6.3%；外部需求旺盛，出口持续增长，出口合计（美元计）同比增长21.8%；固定投资，由降转增至同比1.8%，特别是房地产相关投资继续筑底；消费方面，社消总额同比增2.8%，增速较去年有一定提升，结构优化。市场表现上，一季度以来债券市场利率有明显的下行，从估值来看1年至10年国债收益率下行3-12BP，曲线走平，10年国债季末收在1.82%附近；1年至5年AA+城投估值收益率喜爱选哪个12-24BP，3年期AA+城投估值在1.83%附近，信用曲线走陡，信用利差进一步压缩。但实际月度维度上，市场表现区别很大，交易的内容不同。1至2月，权益风险偏好上行。央行在1月15日国新办发布会上明确表态"降准降息还有一定空间"，并多次强调"灵活高效运用降准降息等多种货币政策工具""发挥增量政策和存量政策集成效应"，实际上传递出短期内总量宽松工具不会急于落地的信号。一季度央行未实施全面降准或降息，逆回购利率始终维持在1.40%不变。信用债长端利率有一定的下行，但是短端和去年年底相比并无明显变化。在2月末爆发伊朗以色列地缘冲突，油价翻倍上涨。在国内，和国外直接交易通胀的逻辑不同，国内债券市场收益率有非常明显的下行，是避险情绪占市场绝对主导的表现，中短期无风险利率下行10BP左右，幅度可见一斑。对应到信用债，绝对收益率同步下行，各个期限信用利差进一步压缩。产品主要配置中短久期债券资产，得益于利率下行及信用利差压缩，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外部环境存在巨大的不确定性，即战争带来的是一次性的通胀冲击，还是结构性变化下的需求萎缩将会对国内市场产生重要的影响。对应到国内，在外部通胀快速上行的情况下，国内CPI和PPI都看到了价格支撑，但相比国外，一季度利率债对于通胀的交易并不充分。叠加基本面的边际改善，二季度的利率或呈现下有底的情况。但如果战争对需求的影响是持续的、财政不做加大发力，那么利率就仍然有下行的空间，但是需要探索信用利差相对没有下行太极致的品种。较为确定的是，市场流动性预计会维持相对充裕。在投资策略上，一方面需要在债券上寻找仍然存在相对信用利差的品种，另一方面，权益市场在一季度已经历了一波“清洗”，未入市的资金充裕，可以保持乐观，择时增配相关品种做收益增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46.66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77.81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52.97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24中行TLAC非资本债01A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30,808,303.56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24农行TLAC非资本债01A(BC)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30,620,891.10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6.98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20,985,916.71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21建设银行二级01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20,579,556.16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21邮储银行二级01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20,565,089.86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22中国银行二级01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20,390,315.07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质押式逆回购(ZXD36H-000993)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17,382,069.71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22工行二级资本债04A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10,334,622.33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23桐庐投资PPN002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10,258,279.86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25工行二级资本债02BC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10,209,158.49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2.33</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361,527,929.13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361,527,929.13</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杭银理财有限责任公司幸福99半年添益第2005期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3301040160015309811-332005</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