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杭银理财幸福99年添益2215期理财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2026年4月14日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2026年3月31日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2026年1月1日</w:t>
            </w:r>
            <w:r w:rsidRPr="000064EC">
              <w:rPr>
                <w:rFonts w:asciiTheme="minorEastAsia" w:eastAsiaTheme="minorEastAsia" w:hAnsiTheme="minorEastAsia" w:cs="仿宋" w:hint="eastAsia"/>
                <w:color w:val="404040"/>
                <w:kern w:val="0"/>
                <w:sz w:val="24"/>
              </w:rPr>
              <w:t>起至</w:t>
            </w:r>
            <w:r>
              <w:rPr>
                <w:color w:val="404040"/>
                <w:sz w:val="24"/>
              </w:rPr>
              <w:t>2026年3月31日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杭银理财幸福99年添益2215期理财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TYG13M2215</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Z7002222000086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2022年10月12日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中国人民银行公布的1年期定期存款利率+0.4%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157,730,994.14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100.14</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2026年1月1日</w:t>
            </w:r>
            <w:r w:rsidRPr="000064EC">
              <w:rPr>
                <w:rFonts w:asciiTheme="minorEastAsia" w:eastAsiaTheme="minorEastAsia" w:hAnsiTheme="minorEastAsia" w:cs="仿宋" w:hint="eastAsia"/>
                <w:color w:val="000000"/>
                <w:kern w:val="0"/>
                <w:sz w:val="24"/>
              </w:rPr>
              <w:t>-</w:t>
            </w:r>
            <w:r>
              <w:rPr>
                <w:color w:val="000000"/>
                <w:sz w:val="24"/>
              </w:rPr>
              <w:t>2026年3月31日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157,730,994.14</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156,975,215.12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1.0048</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1.1109</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年添益2215期</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TYG13M2215</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1.0048</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1.1109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156,748,229.96</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年添益2215期B款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TYG13M2215B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1.0051</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1.1132</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982,764.18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年添益2215期</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-5.34</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0.84</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1.53</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3.20</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年添益2215期B款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-5.33</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0.91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2.82</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3.26</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债券：2026 年一季度中国债市呈现 “先抑后扬、短强长弱、曲线陡峭化” 的震荡格局。宏观基本面 “生产强、消费弱、外需旺、地产疲”，政策面货币宽松、财政靠前发力，叠加地缘与通胀预期扰动，共同驱动利率与信用债分化行情。10 年期国债N 型震荡：1 月初冲高至1.90%， 春节前回落 至1.79% ，3 月底收 1.8171%，全季-3BP，先下后上、整体小幅下行； 30 年期国债（超长端）走势：逆势上行，表现最弱，全季+8BP ，从2.27% 上升至 2.3521%；信用债收益率普遍下行，3 年期约 -12BP，信用利差明显收窄，资产荒 + 票息策略主导，理财、基金增配中短端高评级。产品内基本维持票息策略。</w:t>
        <w:cr/>
        <w:t xml:space="preserve">    黄金：2026 年一季度黄金市场堪称 “极致震荡” 的一季：1 月冲高至 5608 美元 / 盎司历史新高后，3 月遭遇深度回调，单周跌幅一度达 26.8%，创 1983 年以来最大纪录，最终当季涨幅收窄至约 1.7%。核心驱动来自两重冲击：一是美联储政策预期鹰派转向，降息推迟推升实际利率与美元走强，黄金作为无息资产吸引力下降；二是地缘冲突引发流动性挤压，叠加前期获利盘集中涌出与程序化止损，形成 “下跌 — 抛售 — 加速” 的负反馈。在能投资黄金产品上，我们根据波动率判断，保持了极低仓位，没有进行追涨。</w:t>
        <w:cr/>
        <w:t xml:space="preserve">   权益市场：2026 年一季度 A 股与港股呈现 “A 股震荡分化、港股先强后弱、价值防御占优、成长普遍承压”的鲜明格局，核心驱动来自国内弱复苏、美联储鹰派、地缘冲突、资金避险四大因素。可投权益的产品上，我们在3月19日进行了大幅减仓，随后在3月25日回补了超一半的仓位，降低了科技的比例、增加了自由现金流和港股的配置。</w:t>
        <w:cr/>
        <w:t xml:space="preserve">    转债： 2026 年一季度可转债市场呈现 “先扬后抑、估值冲高回落、结构极致分化”的走势，中证转债指数（000832）累计上涨 1.43%，整体跑赢大盘、跑输小盘成长，行情分为三阶段：1 月强势冲高、2 月高位震荡、3 月深度回调。可投转债的产品内，我们结合转债波动率和正股波动率的比较看，在2月份清仓了转债，后续对该品种没有回补仓位。</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债券：二季度债市预计将延续 “上有顶、下有底、短强长弱、震荡分化” 格局，宏观弱复苏、PPI 转正与输入性通胀预期压制长端，央行适度宽松、流动性充裕支撑短端。10 年国债大概率在 1.75%–1.85% 区间震荡，30 年国债因供给放量、久期需求偏弱仍承压（2.3%–2.4%）；1 年期 AAA 存单下行空间有限（1.50%–1.55%），中短久期高等级信用债受益理财增配、利差继续保持底部震荡。策略以控久期、守票息、哑铃配置为主，长端逢调整布局、短端稳健套息。</w:t>
        <w:cr/>
        <w:t xml:space="preserve">    黄金：一季度黄金行情本质是 “流动性优先于避险” 的典型案例：在地缘风险升温时，黄金因具备高流动性反而被优先变现以满足保证金需求，导致波动加剧与短期回撤。尽管短期承压，央行持续购金（一季度达 215 吨）与长期供需缺口仍为黄金提供基本面支撑。展望二季度，美伊战事趋于尾声，黄金与其他资产波动率已经趋于正常，后续会回归美国降息预期及美国财政可持续性，可操作性将显著增强。</w:t>
        <w:cr/>
        <w:t xml:space="preserve">    权益：二季度 A 股与港股或将呈现 “A 股震荡筑底、结构为王；港股先抑后扬、估值修复” 的格局：国内弱复苏延续、政策宽松托底、流动性合理充裕，但美联储降息推迟、地缘冲突持续、外资偏谨慎压制风险偏好。市场主线从 “情绪炒作” 转向 “业绩验证”，风格维持 “高股息防御 + 科技成长景气” 双轮驱动。</w:t>
        <w:cr/>
        <w:t xml:space="preserve">    转债：当前转债估值继续在高位震荡，较正股性价比仍然低，继续观察转债估值，在合适位置再进行投资。</w:t>
        <w:cr/>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11.37</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38.32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5.60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25.86</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44.82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7.19</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59.62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24伟驰MTN001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10,366,272.47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6.57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22济南城建PPN001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10,224,536.03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24江北新城MTN001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10,130,360.41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24南浔经开PPN001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10,122,161.78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6.42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8,695,575.07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5.51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8,084,341.36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5.13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质押式逆回购(305002-000182)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6,260,033.89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他行存款(021316-000458)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4,947,866.32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3.14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25国开20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4,788,382.76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25超长特别国债06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4,079,059.83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2.59</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156,975,215.12</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156,975,215.12</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杭银理财有限责任公司幸福99年添益开放式第2215期</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3301040160015309811-522215</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杭州银行股份有限公司</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2026年4月14日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