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C873CF">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C873CF">
      <w:pPr>
        <w:jc w:val="center"/>
        <w:rPr>
          <w:rFonts w:ascii="宋体" w:hAnsi="宋体"/>
          <w:b/>
          <w:color w:val="000000"/>
          <w:sz w:val="32"/>
          <w:szCs w:val="32"/>
          <w:shd w:val="clear" w:color="auto" w:fill="FFFFFF"/>
        </w:rPr>
      </w:pP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招银理财招睿添金7天持有期5号固定收益类理财计划</w:t>
      </w:r>
    </w:p>
    <w:p w:rsidR="00C873CF">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2026</w:t>
      </w:r>
      <w:r>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第1季度</w:t>
      </w:r>
      <w:r>
        <w:rPr>
          <w:rFonts w:ascii="宋体" w:hAnsi="宋体" w:hint="eastAsia"/>
          <w:b/>
          <w:color w:val="000000"/>
          <w:sz w:val="32"/>
          <w:szCs w:val="32"/>
          <w:shd w:val="clear" w:color="auto" w:fill="FFFFFF"/>
        </w:rPr>
        <w:t>报告</w:t>
      </w:r>
    </w:p>
    <w:p w:rsidR="00C873CF">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Pr>
          <w:rFonts w:ascii="宋体" w:hAnsi="宋体"/>
          <w:b/>
          <w:sz w:val="32"/>
          <w:szCs w:val="32"/>
          <w:shd w:val="clear" w:color="auto" w:fill="FFFFFF"/>
        </w:rPr>
        <w:t>代码：</w:t>
      </w:r>
      <w:r>
        <w:rPr>
          <w:rFonts w:ascii="宋体" w:eastAsia="宋体" w:hAnsi="宋体" w:cs="宋体"/>
          <w:b/>
          <w:i w:val="0"/>
          <w:color w:val="000000"/>
          <w:position w:val="-1"/>
          <w:sz w:val="32"/>
          <w:u w:val="none"/>
        </w:rPr>
        <w:t>120015</w:t>
      </w:r>
      <w:r>
        <w:rPr>
          <w:rFonts w:ascii="宋体" w:hAnsi="宋体" w:hint="eastAsia"/>
          <w:b/>
          <w:sz w:val="32"/>
          <w:szCs w:val="32"/>
          <w:shd w:val="clear" w:color="auto" w:fill="FFFFFF"/>
        </w:rPr>
        <w:t>）</w:t>
      </w:r>
    </w:p>
    <w:p w:rsidR="00C873CF">
      <w:pPr>
        <w:jc w:val="center"/>
        <w:rPr>
          <w:rFonts w:ascii="宋体" w:hAnsi="宋体"/>
          <w:b/>
          <w:sz w:val="32"/>
          <w:szCs w:val="32"/>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jc w:val="center"/>
        <w:rPr>
          <w:rFonts w:ascii="宋体" w:hAnsi="宋体"/>
          <w:sz w:val="24"/>
          <w:shd w:val="clear" w:color="auto" w:fill="FFFFFF"/>
        </w:rPr>
      </w:pP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理财产品管理人：招银理财有限责任公司</w:t>
      </w:r>
    </w:p>
    <w:p w:rsidR="00C873CF">
      <w:pPr>
        <w:spacing w:line="360" w:lineRule="auto"/>
        <w:ind w:firstLine="1890" w:firstLineChars="900"/>
        <w:rPr>
          <w:rFonts w:ascii="宋体" w:hAnsi="宋体"/>
          <w:sz w:val="24"/>
          <w:shd w:val="clear" w:color="auto" w:fill="FFFFFF"/>
        </w:rPr>
      </w:pPr>
      <w:r>
        <w:rPr>
          <w:rFonts w:ascii="宋体" w:eastAsia="宋体" w:hAnsi="宋体" w:cs="宋体"/>
          <w:b w:val="0"/>
          <w:i w:val="0"/>
          <w:color w:val="000000"/>
          <w:position w:val="-1"/>
          <w:sz w:val="24"/>
          <w:u w:val="none"/>
        </w:rPr>
        <w:t>理财产品托管人：招商银行股份有限公司</w:t>
      </w:r>
    </w:p>
    <w:p w:rsidR="00C873CF">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jc w:val="center"/>
        <w:rPr>
          <w:rFonts w:ascii="宋体" w:hAnsi="宋体"/>
          <w:b/>
          <w:sz w:val="32"/>
          <w:szCs w:val="32"/>
          <w:shd w:val="clear" w:color="auto" w:fill="FFFFFF"/>
        </w:rPr>
      </w:pPr>
    </w:p>
    <w:p w:rsidR="00C873CF">
      <w:pPr>
        <w:rPr>
          <w:rFonts w:ascii="宋体" w:hAnsi="宋体"/>
          <w:b/>
          <w:sz w:val="32"/>
          <w:szCs w:val="32"/>
          <w:shd w:val="clear" w:color="auto" w:fill="FFFFFF"/>
        </w:rPr>
      </w:pPr>
    </w:p>
    <w:p w:rsidR="00C873CF">
      <w:pPr>
        <w:jc w:val="center"/>
        <w:rPr>
          <w:rFonts w:ascii="宋体" w:hAnsi="宋体"/>
          <w:b/>
          <w:sz w:val="30"/>
          <w:shd w:val="clear" w:color="auto" w:fill="FFFFFF"/>
        </w:rPr>
      </w:pPr>
      <w:r>
        <w:rPr>
          <w:rFonts w:ascii="宋体" w:hAnsi="宋体" w:hint="eastAsia"/>
          <w:b/>
          <w:sz w:val="30"/>
          <w:shd w:val="clear" w:color="auto" w:fill="FFFFFF"/>
        </w:rPr>
        <w:t>目    录</w:t>
      </w:r>
    </w:p>
    <w:p w:rsidR="00C873CF">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267A1B">
        <w:rPr>
          <w:rStyle w:val="Hyperlink"/>
          <w:rFonts w:ascii="宋体" w:hAnsi="宋体" w:hint="eastAsia"/>
          <w:shd w:val="clear" w:color="auto" w:fill="FFFFFF"/>
          <w:lang w:val="en-US"/>
        </w:rPr>
        <w:t xml:space="preserve">§1 </w:t>
      </w:r>
      <w:r>
        <w:rPr>
          <w:rStyle w:val="Hyperlink"/>
          <w:rFonts w:ascii="宋体" w:hAnsi="宋体" w:hint="eastAsia"/>
          <w:shd w:val="clear" w:color="auto" w:fill="FFFFFF"/>
        </w:rPr>
        <w:t>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Pr>
          <w:rStyle w:val="Hyperlink"/>
          <w:rFonts w:hint="eastAsia"/>
          <w:shd w:val="clear" w:color="auto" w:fill="FFFFFF"/>
        </w:rPr>
        <w:t>4.2 理财产品报告期内关联交易发生情况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Pr>
          <w:rStyle w:val="Hyperlink"/>
          <w:rFonts w:ascii="宋体" w:hAnsi="宋体" w:hint="eastAsia"/>
          <w:shd w:val="clear" w:color="auto" w:fill="FFFFFF"/>
        </w:rPr>
        <w:t>§</w:t>
      </w:r>
      <w:r>
        <w:rPr>
          <w:rStyle w:val="Hyperlink"/>
          <w:rFonts w:ascii="宋体" w:hAnsi="宋体"/>
          <w:shd w:val="clear" w:color="auto" w:fill="FFFFFF"/>
        </w:rPr>
        <w:t>5</w:t>
      </w:r>
      <w:r>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8</w:t>
      </w:r>
      <w:r>
        <w:fldChar w:fldCharType="end"/>
      </w:r>
      <w:r>
        <w:fldChar w:fldCharType="end"/>
      </w:r>
    </w:p>
    <w:p>
      <w:r>
        <w:fldChar w:fldCharType="end"/>
      </w:r>
    </w:p>
    <w:p w:rsidR="00C873CF">
      <w:pPr>
        <w:widowControl/>
        <w:jc w:val="left"/>
        <w:rPr>
          <w:shd w:val="clear" w:color="auto" w:fill="FFFFFF"/>
        </w:rPr>
      </w:pPr>
      <w:r>
        <w:rPr>
          <w:shd w:val="clear" w:color="auto" w:fill="FFFFFF"/>
        </w:rPr>
        <w:br w:type="page"/>
      </w:r>
    </w:p>
    <w:p w:rsidR="00C873CF" w:rsidRPr="00267A1B">
      <w:pPr>
        <w:pStyle w:val="Heading1"/>
        <w:spacing w:line="360" w:lineRule="auto"/>
        <w:jc w:val="center"/>
        <w:rPr>
          <w:rFonts w:ascii="宋体" w:hAnsi="宋体"/>
          <w:sz w:val="24"/>
          <w:szCs w:val="24"/>
          <w:shd w:val="clear" w:color="auto" w:fill="FFFFFF"/>
          <w:lang w:val="en-US"/>
        </w:rPr>
      </w:pPr>
      <w:bookmarkStart w:id="1" w:name="_Toc12382916"/>
      <w:bookmarkStart w:id="2" w:name="_Toc256000000"/>
      <w:r w:rsidRPr="00267A1B">
        <w:rPr>
          <w:rFonts w:ascii="宋体" w:hAnsi="宋体" w:hint="eastAsia"/>
          <w:sz w:val="24"/>
          <w:szCs w:val="24"/>
          <w:shd w:val="clear" w:color="auto" w:fill="FFFFFF"/>
          <w:lang w:val="en-US"/>
        </w:rPr>
        <w:t xml:space="preserve">§1 </w:t>
      </w:r>
      <w:r>
        <w:rPr>
          <w:rFonts w:ascii="宋体" w:hAnsi="宋体" w:hint="eastAsia"/>
          <w:sz w:val="24"/>
          <w:szCs w:val="24"/>
          <w:shd w:val="clear" w:color="auto" w:fill="FFFFFF"/>
        </w:rPr>
        <w:t>重要提示</w:t>
      </w:r>
      <w:bookmarkEnd w:id="2"/>
      <w:bookmarkEnd w:id="1"/>
    </w:p>
    <w:p w:rsidR="00C873CF">
      <w:pPr>
        <w:pStyle w:val="Heading2"/>
        <w:rPr>
          <w:sz w:val="24"/>
          <w:szCs w:val="24"/>
          <w:shd w:val="clear" w:color="auto" w:fill="FFFFFF"/>
        </w:rPr>
      </w:pPr>
      <w:bookmarkStart w:id="3" w:name="_Toc256000001"/>
      <w:r>
        <w:rPr>
          <w:rFonts w:hint="eastAsia"/>
          <w:sz w:val="24"/>
          <w:szCs w:val="24"/>
          <w:shd w:val="clear" w:color="auto" w:fill="FFFFFF"/>
        </w:rPr>
        <w:t>1.1 重要提示</w:t>
      </w:r>
      <w:bookmarkEnd w:id="3"/>
      <w:bookmarkStart w:id="4" w:name="_Toc12382917"/>
      <w:bookmarkEnd w:id="4"/>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tblPrEx>
        <w:trPr>
          <w:trHeight w:val="610"/>
        </w:trPr>
        <w:tc>
          <w:tcPr>
            <w:tcW w:w="8522" w:type="dxa"/>
          </w:tcPr>
          <w:p w:rsidR="00C873CF">
            <w:pPr>
              <w:numPr>
                <w:ilvl w:val="0"/>
                <w:numId w:val="3"/>
              </w:numPr>
              <w:jc w:val="left"/>
              <w:rPr>
                <w:rFonts w:ascii="仿宋" w:eastAsia="仿宋" w:hAnsi="仿宋"/>
                <w:shd w:val="clear" w:color="auto" w:fill="FFFFFF"/>
              </w:rPr>
            </w:pPr>
            <w:r>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招银理财招睿添金7天持有期5号固定收益类理财计划</w:t>
            </w:r>
            <w:r>
              <w:rPr>
                <w:rFonts w:ascii="仿宋" w:eastAsia="仿宋" w:hAnsi="仿宋" w:hint="eastAsia"/>
                <w:shd w:val="clear" w:color="auto" w:fill="FFFFFF"/>
              </w:rPr>
              <w:t>。理财产品</w:t>
            </w:r>
            <w:r>
              <w:rPr>
                <w:rFonts w:ascii="仿宋" w:eastAsia="仿宋" w:hAnsi="仿宋"/>
                <w:shd w:val="clear" w:color="auto" w:fill="FFFFFF"/>
              </w:rPr>
              <w:t>管理人</w:t>
            </w:r>
            <w:r>
              <w:rPr>
                <w:rFonts w:ascii="仿宋" w:eastAsia="仿宋" w:hAnsi="仿宋" w:hint="eastAsia"/>
                <w:shd w:val="clear" w:color="auto" w:fill="FFFFFF"/>
              </w:rPr>
              <w:t>保证</w:t>
            </w:r>
            <w:r>
              <w:rPr>
                <w:rFonts w:ascii="仿宋" w:eastAsia="仿宋" w:hAnsi="仿宋"/>
                <w:shd w:val="clear" w:color="auto" w:fill="FFFFFF"/>
              </w:rPr>
              <w:t>本报告所载资料不存在虚假记载、误导性陈述或重大遗漏。</w:t>
            </w:r>
          </w:p>
          <w:p w:rsidR="00C873CF">
            <w:pPr>
              <w:numPr>
                <w:ilvl w:val="0"/>
                <w:numId w:val="3"/>
              </w:numPr>
              <w:jc w:val="left"/>
              <w:rPr>
                <w:rFonts w:ascii="仿宋" w:eastAsia="仿宋" w:hAnsi="仿宋"/>
                <w:shd w:val="clear" w:color="auto" w:fill="FFFFFF"/>
              </w:rPr>
            </w:pPr>
            <w:r>
              <w:rPr>
                <w:rFonts w:ascii="仿宋" w:eastAsia="仿宋" w:hAnsi="仿宋"/>
                <w:shd w:val="clear" w:color="auto" w:fill="FFFFFF"/>
              </w:rPr>
              <w:t>理财产品管理人承诺以诚实信用、勤勉尽责的原则管理和运用理财产品资产，但不保证理财产品</w:t>
            </w:r>
            <w:r>
              <w:rPr>
                <w:rFonts w:ascii="仿宋" w:eastAsia="仿宋" w:hAnsi="仿宋" w:hint="eastAsia"/>
                <w:shd w:val="clear" w:color="auto" w:fill="FFFFFF"/>
              </w:rPr>
              <w:t>本金和收益</w:t>
            </w:r>
            <w:r>
              <w:rPr>
                <w:rFonts w:ascii="仿宋" w:eastAsia="仿宋" w:hAnsi="仿宋"/>
                <w:shd w:val="clear" w:color="auto" w:fill="FFFFFF"/>
              </w:rPr>
              <w:t>。</w:t>
            </w:r>
          </w:p>
          <w:p w:rsidR="00C873CF">
            <w:pPr>
              <w:numPr>
                <w:ilvl w:val="0"/>
                <w:numId w:val="3"/>
              </w:numPr>
              <w:rPr>
                <w:rFonts w:ascii="仿宋" w:eastAsia="仿宋" w:hAnsi="仿宋"/>
                <w:shd w:val="clear" w:color="auto" w:fill="FFFFFF"/>
              </w:rPr>
            </w:pPr>
            <w:r>
              <w:rPr>
                <w:rFonts w:ascii="仿宋" w:eastAsia="仿宋" w:hAnsi="仿宋" w:hint="eastAsia"/>
                <w:shd w:val="clear" w:color="auto" w:fill="FFFFFF"/>
              </w:rPr>
              <w:t>本产品为净值型产品，业绩表现将随市场波动，具有不确定性，</w:t>
            </w:r>
            <w:r>
              <w:rPr>
                <w:rFonts w:ascii="仿宋" w:eastAsia="仿宋" w:hAnsi="仿宋" w:hint="eastAsia"/>
                <w:b/>
                <w:bCs/>
                <w:shd w:val="clear" w:color="auto" w:fill="FFFFFF"/>
              </w:rPr>
              <w:t>理财产品过往业绩并不代表其未来表现，不等于理财产品实际收益。</w:t>
            </w:r>
            <w:r>
              <w:rPr>
                <w:rFonts w:ascii="仿宋" w:eastAsia="仿宋" w:hAnsi="仿宋" w:hint="eastAsia"/>
                <w:b/>
                <w:shd w:val="clear" w:color="auto" w:fill="FFFFFF"/>
              </w:rPr>
              <w:t>理财非存款、产品有风险、投资须谨慎</w:t>
            </w:r>
            <w:r>
              <w:rPr>
                <w:rFonts w:ascii="仿宋" w:eastAsia="仿宋" w:hAnsi="仿宋" w:hint="eastAsia"/>
                <w:shd w:val="clear" w:color="auto" w:fill="FFFFFF"/>
              </w:rPr>
              <w:t>，投资者在作出投资决策前应仔细阅读本理财产品的销售文件。</w:t>
            </w:r>
          </w:p>
          <w:p w:rsidR="00C873CF">
            <w:pPr>
              <w:numPr>
                <w:ilvl w:val="0"/>
                <w:numId w:val="3"/>
              </w:numPr>
              <w:jc w:val="left"/>
              <w:rPr>
                <w:rFonts w:ascii="仿宋" w:eastAsia="仿宋" w:hAnsi="仿宋"/>
                <w:shd w:val="clear" w:color="auto" w:fill="FFFFFF"/>
              </w:rPr>
            </w:pPr>
            <w:r>
              <w:rPr>
                <w:rFonts w:ascii="仿宋" w:eastAsia="仿宋" w:hAnsi="仿宋" w:cs="仿宋"/>
                <w:b w:val="0"/>
                <w:i w:val="0"/>
                <w:color w:val="000000"/>
                <w:position w:val="-1"/>
                <w:u w:val="none"/>
              </w:rPr>
              <w:t>本报告期自2026年01月01日起至2026年03月31日止。</w:t>
            </w:r>
          </w:p>
          <w:p w:rsidR="00C873CF">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C873CF" w:rsidRPr="00F37D7D" w:rsidP="00F37D7D">
      <w:pPr>
        <w:pStyle w:val="Heading1"/>
        <w:spacing w:line="360" w:lineRule="auto"/>
        <w:jc w:val="center"/>
        <w:rPr>
          <w:rFonts w:ascii="宋体" w:hAnsi="宋体"/>
          <w:sz w:val="24"/>
          <w:szCs w:val="24"/>
          <w:shd w:val="clear" w:color="auto" w:fill="FFFFFF"/>
        </w:rPr>
      </w:pPr>
      <w:bookmarkStart w:id="5" w:name="_Toc256000002"/>
      <w:r>
        <w:rPr>
          <w:rFonts w:ascii="宋体" w:hAnsi="宋体" w:hint="eastAsia"/>
          <w:sz w:val="24"/>
          <w:szCs w:val="24"/>
          <w:shd w:val="clear" w:color="auto" w:fill="FFFFFF"/>
        </w:rPr>
        <w:t>§2 理财产品简介</w:t>
      </w:r>
      <w:bookmarkEnd w:id="5"/>
      <w:bookmarkStart w:id="6" w:name="_Toc194311890"/>
      <w:bookmarkStart w:id="7" w:name="_Toc12382918"/>
      <w:bookmarkStart w:id="8" w:name="基础信息"/>
    </w:p>
    <w:p w:rsidR="00A3418A">
      <w:pPr>
        <w:pStyle w:val="Heading2"/>
        <w:rPr>
          <w:sz w:val="24"/>
          <w:szCs w:val="24"/>
          <w:shd w:val="clear" w:color="auto" w:fill="FFFFFF"/>
        </w:rPr>
      </w:pPr>
      <w:bookmarkStart w:id="9" w:name="_Toc256000003"/>
      <w:r>
        <w:rPr>
          <w:rFonts w:hint="eastAsia"/>
          <w:sz w:val="24"/>
          <w:szCs w:val="24"/>
          <w:shd w:val="clear" w:color="auto" w:fill="FFFFFF"/>
        </w:rPr>
        <w:t>2.1 理财产品基本情况</w:t>
      </w:r>
      <w:bookmarkEnd w:id="9"/>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120015</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招银理财招睿添金7天持有期5号固定收益类理财计划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Z7001625000014</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120015A：50.00%×中国人民银行公布的活期存款利率+50.00%×中债0-3个月国债财富（总值）指数收益率；120015P：50.00%×中国人民银行公布的活期存款利率+50.00%×中债0-3个月国债财富（总值）指数收益率；120015S：50.00%×中国人民银行公布的活期存款利率+50.00%×中债0-3个月国债财富（总值）指数收益率；120015ZX：50.00%×中国人民银行公布的活期存款利率+50.00%×中债0-3个月国债财富（总值）指数收益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以产品投资固定收益类资产不低于80%为例，根据当前市场环境下大类资产合意配置比例及大类资产收益情况，考虑杠杆和费率等因素，并结合产品投资策略进行测算，确定本理财产品业绩比较基准。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100.01</w:t>
            </w:r>
            <w:r w:rsidR="002E0136">
              <w:rPr>
                <w:rFonts w:ascii="宋体" w:hAnsi="宋体"/>
                <w:kern w:val="0"/>
                <w:szCs w:val="21"/>
                <w:shd w:val="clear" w:color="auto" w:fill="FFFFFF"/>
              </w:rPr>
              <w:t>%</w:t>
            </w:r>
            <w:bookmarkStart w:id="10" w:name="杠杆水平"/>
            <w:bookmarkEnd w:id="10"/>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9,351,276,668.32</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2025年05月29日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2055年05月29日（如遇非工作日/交易日顺延至下一工作日/交易日，具体以产品说明书为准，或在理财计划存续期内理财产品管理人根据本产品说明书约定事由宣布提前或延期终止本理财计划之日。）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P="00F37D7D">
      <w:pPr>
        <w:pStyle w:val="Heading1"/>
        <w:spacing w:line="360" w:lineRule="auto"/>
        <w:jc w:val="center"/>
        <w:rPr>
          <w:rFonts w:ascii="宋体" w:hAnsi="宋体" w:hint="eastAsia"/>
          <w:sz w:val="24"/>
          <w:szCs w:val="24"/>
          <w:shd w:val="clear" w:color="auto" w:fill="FFFFFF"/>
        </w:rPr>
      </w:pPr>
      <w:bookmarkEnd w:id="6"/>
      <w:bookmarkEnd w:id="7"/>
      <w:bookmarkEnd w:id="8"/>
    </w:p>
    <w:p w:rsidR="00C873CF">
      <w:pPr>
        <w:pStyle w:val="Heading1"/>
        <w:spacing w:line="360" w:lineRule="auto"/>
        <w:jc w:val="center"/>
        <w:rPr>
          <w:rFonts w:ascii="宋体" w:hAnsi="宋体"/>
          <w:sz w:val="24"/>
          <w:szCs w:val="24"/>
          <w:shd w:val="clear" w:color="auto" w:fill="FFFFFF"/>
        </w:rPr>
      </w:pPr>
      <w:bookmarkStart w:id="11" w:name="_Toc256000005"/>
      <w:r>
        <w:rPr>
          <w:rFonts w:ascii="宋体" w:hAnsi="宋体" w:hint="eastAsia"/>
          <w:sz w:val="24"/>
          <w:szCs w:val="24"/>
          <w:shd w:val="clear" w:color="auto" w:fill="FFFFFF"/>
        </w:rPr>
        <w:t>§3 理财产品净值表现</w:t>
      </w:r>
      <w:bookmarkEnd w:id="11"/>
      <w:bookmarkStart w:id="12" w:name="_Toc193947511"/>
      <w:bookmarkStart w:id="13" w:name="_Toc12382920"/>
      <w:bookmarkStart w:id="14" w:name="_Toc194312018"/>
      <w:bookmarkEnd w:id="12"/>
      <w:bookmarkEnd w:id="13"/>
      <w:bookmarkEnd w:id="14"/>
    </w:p>
    <w:p w:rsidR="00C873CF">
      <w:pPr>
        <w:pStyle w:val="Heading2"/>
        <w:rPr>
          <w:sz w:val="24"/>
          <w:szCs w:val="24"/>
          <w:shd w:val="clear" w:color="auto" w:fill="FFFFFF"/>
        </w:rPr>
      </w:pPr>
      <w:bookmarkStart w:id="15" w:name="_Toc256000006"/>
      <w:r>
        <w:rPr>
          <w:rFonts w:hint="eastAsia"/>
          <w:sz w:val="24"/>
          <w:szCs w:val="24"/>
          <w:shd w:val="clear" w:color="auto" w:fill="FFFFFF"/>
        </w:rPr>
        <w:t>3.1 截至报告期末产品资产净值及份额净值</w:t>
      </w:r>
      <w:bookmarkEnd w:id="15"/>
    </w:p>
    <w:p w:rsidR="00C873CF">
      <w:pPr>
        <w:adjustRightInd w:val="0"/>
        <w:snapToGrid w:val="0"/>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截至本报告期末，产品的资产净值为9,600,809,216.73元，产品份额净值为1.0267元，产品份额累计净值为1.0267元。</w:t>
      </w:r>
    </w:p>
    <w:p w:rsidR="00C873CF">
      <w:pPr>
        <w:rPr>
          <w:rFonts w:ascii="宋体" w:hAnsi="宋体"/>
          <w:szCs w:val="21"/>
          <w:shd w:val="clear" w:color="auto" w:fill="FFFFFF"/>
        </w:rPr>
      </w:pPr>
      <w:r>
        <w:rPr>
          <w:rFonts w:ascii="宋体" w:hAnsi="宋体" w:hint="eastAsia"/>
          <w:szCs w:val="21"/>
          <w:shd w:val="clear" w:color="auto" w:fill="FFFFFF"/>
        </w:rPr>
        <w:t>注：</w:t>
      </w:r>
      <w:r>
        <w:rPr>
          <w:rFonts w:ascii="宋体" w:hAnsi="宋体"/>
          <w:szCs w:val="21"/>
          <w:shd w:val="clear" w:color="auto" w:fill="FFFFFF"/>
        </w:rPr>
        <w:t>份额净值=资产净值/份额总额；份额累计净值=份额净值+产品成立后份额的累计分红金额。</w:t>
      </w:r>
    </w:p>
    <w:p w:rsidR="00C873CF">
      <w:pPr>
        <w:pStyle w:val="Heading2"/>
        <w:rPr>
          <w:sz w:val="24"/>
          <w:szCs w:val="24"/>
          <w:shd w:val="clear" w:color="auto" w:fill="FFFFFF"/>
        </w:rPr>
      </w:pPr>
      <w:bookmarkStart w:id="16" w:name="_Toc256000007"/>
      <w:r>
        <w:rPr>
          <w:rFonts w:hint="eastAsia"/>
          <w:sz w:val="24"/>
          <w:szCs w:val="24"/>
          <w:shd w:val="clear" w:color="auto" w:fill="FFFFFF"/>
        </w:rPr>
        <w:t>3.2 理财产品年化收益率</w:t>
      </w:r>
      <w:bookmarkEnd w:id="1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992"/>
        <w:gridCol w:w="993"/>
        <w:gridCol w:w="850"/>
        <w:gridCol w:w="851"/>
        <w:gridCol w:w="992"/>
        <w:gridCol w:w="992"/>
        <w:gridCol w:w="992"/>
        <w:gridCol w:w="1134"/>
      </w:tblGrid>
      <w:tr>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41"/>
          <w:jc w:val="center"/>
        </w:trPr>
        <w:tc>
          <w:tcPr>
            <w:tcW w:w="1271"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阶段</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近三个月</w:t>
            </w:r>
          </w:p>
        </w:tc>
        <w:tc>
          <w:tcPr>
            <w:tcW w:w="993"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近六个月</w:t>
            </w:r>
          </w:p>
        </w:tc>
        <w:tc>
          <w:tcPr>
            <w:tcW w:w="850"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近1个会计年度</w:t>
            </w:r>
          </w:p>
        </w:tc>
        <w:tc>
          <w:tcPr>
            <w:tcW w:w="851"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C873C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C873C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成立至今</w:t>
            </w:r>
          </w:p>
        </w:tc>
      </w:tr>
      <w:tr>
        <w:tblPrEx>
          <w:tblW w:w="9067" w:type="dxa"/>
          <w:jc w:val="center"/>
          <w:tblLayout w:type="fixed"/>
          <w:tblLook w:val="04A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hAnsi="宋体" w:hint="eastAsia"/>
                <w:szCs w:val="21"/>
                <w:shd w:val="clear" w:color="auto" w:fill="FFFFFF"/>
              </w:rPr>
              <w:t>年化</w:t>
            </w:r>
            <w:r>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2.38%</w:t>
            </w:r>
          </w:p>
        </w:tc>
        <w:tc>
          <w:tcPr>
            <w:tcW w:w="993"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2.79%</w:t>
            </w:r>
          </w:p>
        </w:tc>
        <w:tc>
          <w:tcPr>
            <w:tcW w:w="850"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C873CF">
            <w:pPr>
              <w:snapToGrid w:val="0"/>
              <w:jc w:val="center"/>
              <w:rPr>
                <w:rFonts w:ascii="宋体" w:hAnsi="宋体"/>
                <w:szCs w:val="21"/>
                <w:shd w:val="clear" w:color="auto" w:fill="FFFFFF"/>
              </w:rPr>
            </w:pPr>
            <w:r>
              <w:rPr>
                <w:rFonts w:ascii="宋体" w:eastAsia="宋体" w:hAnsi="宋体" w:cs="宋体"/>
                <w:b w:val="0"/>
                <w:i w:val="0"/>
                <w:color w:val="000000"/>
                <w:position w:val="-1"/>
                <w:u w:val="none"/>
              </w:rPr>
              <w:t>3.18%</w:t>
            </w:r>
          </w:p>
        </w:tc>
      </w:tr>
    </w:tbl>
    <w:p w:rsidR="00C873CF">
      <w:r>
        <w:rPr>
          <w:rFonts w:hint="eastAsia"/>
        </w:rPr>
        <w:t>注：</w:t>
      </w:r>
    </w:p>
    <w:p w:rsidR="00C873C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2025年05月29日</w:t>
      </w:r>
      <w:r>
        <w:rPr>
          <w:rFonts w:ascii="宋体" w:hAnsi="宋体" w:cs="宋体" w:hint="eastAsia"/>
        </w:rPr>
        <w:t>，数据截至</w:t>
      </w:r>
      <w:r>
        <w:rPr>
          <w:rFonts w:ascii="宋体" w:eastAsia="宋体" w:hAnsi="宋体" w:cs="宋体"/>
          <w:b w:val="0"/>
          <w:i w:val="0"/>
          <w:color w:val="000000"/>
          <w:position w:val="-1"/>
          <w:u w:val="none"/>
        </w:rPr>
        <w:t>2026年03月31日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C873CF">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C873CF">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C873CF">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hAnsi="Cambria Math"/>
          <w:sz w:val="24"/>
        </w:rPr>
      </w:pPr>
      <w:r>
        <w:rPr>
          <w:rFonts w:ascii="宋体" w:hAnsi="宋体" w:cs="宋体" w:hint="eastAsia"/>
          <w:szCs w:val="21"/>
          <w:shd w:val="clear" w:color="auto" w:fill="FFFFFF"/>
        </w:rPr>
        <w:t>t1为区间最后一个自然日，t2为N月前的最后一个自然日。</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C873CF">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C873CF">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C873CF">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C873CF">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C873CF">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C873CF">
      <w:pPr>
        <w:pStyle w:val="Heading1"/>
        <w:spacing w:line="360" w:lineRule="auto"/>
        <w:jc w:val="center"/>
        <w:rPr>
          <w:rFonts w:ascii="宋体" w:hAnsi="宋体"/>
          <w:sz w:val="24"/>
          <w:szCs w:val="24"/>
          <w:shd w:val="clear" w:color="auto" w:fill="FFFFFF"/>
        </w:rPr>
      </w:pPr>
      <w:bookmarkStart w:id="17" w:name="_Toc256000008"/>
      <w:r>
        <w:rPr>
          <w:rFonts w:ascii="宋体" w:hAnsi="宋体" w:hint="eastAsia"/>
          <w:sz w:val="24"/>
          <w:szCs w:val="24"/>
          <w:shd w:val="clear" w:color="auto" w:fill="FFFFFF"/>
        </w:rPr>
        <w:t>§4 管理人报告</w:t>
      </w:r>
      <w:bookmarkEnd w:id="17"/>
      <w:bookmarkStart w:id="18" w:name="_Toc12382923"/>
      <w:bookmarkEnd w:id="18"/>
    </w:p>
    <w:p w:rsidR="00C873CF">
      <w:pPr>
        <w:pStyle w:val="Heading2"/>
        <w:rPr>
          <w:sz w:val="24"/>
          <w:szCs w:val="24"/>
          <w:shd w:val="clear" w:color="auto" w:fill="FFFFFF"/>
        </w:rPr>
      </w:pPr>
      <w:bookmarkStart w:id="19" w:name="_Toc256000009"/>
      <w:r>
        <w:rPr>
          <w:rFonts w:hint="eastAsia"/>
          <w:sz w:val="24"/>
          <w:szCs w:val="24"/>
          <w:shd w:val="clear" w:color="auto" w:fill="FFFFFF"/>
        </w:rPr>
        <w:t>4.1 管理人对报告期内理财产品的投资策略说明</w:t>
      </w:r>
      <w:bookmarkEnd w:id="19"/>
    </w:p>
    <w:p w:rsidR="00C873CF">
      <w:pPr>
        <w:pStyle w:val="Heading3"/>
        <w:rPr>
          <w:sz w:val="24"/>
          <w:szCs w:val="24"/>
          <w:shd w:val="clear" w:color="auto" w:fill="FFFFFF"/>
        </w:rPr>
      </w:pPr>
      <w:r>
        <w:rPr>
          <w:rFonts w:hint="eastAsia"/>
          <w:sz w:val="24"/>
          <w:szCs w:val="24"/>
          <w:shd w:val="clear" w:color="auto" w:fill="FFFFFF"/>
        </w:rPr>
        <w:t>4.1.1 报告期内理财产品投资策略和运作分析</w:t>
      </w:r>
    </w:p>
    <w:p w:rsidR="00C873CF">
      <w:pPr>
        <w:ind w:firstLine="420" w:firstLineChars="200"/>
        <w:rPr>
          <w:rFonts w:ascii="宋体" w:hAnsi="宋体"/>
          <w:sz w:val="24"/>
          <w:szCs w:val="24"/>
          <w:shd w:val="clear" w:color="auto" w:fill="FFFFFF"/>
        </w:rPr>
      </w:pPr>
      <w:bookmarkStart w:id="20" w:name="运作分析"/>
      <w:r>
        <w:rPr>
          <w:rFonts w:ascii="宋体" w:hAnsi="宋体"/>
          <w:sz w:val="24"/>
          <w:szCs w:val="24"/>
          <w:shd w:val="clear" w:color="auto" w:fill="FFFFFF"/>
        </w:rPr>
        <w:t xml:space="preserve">2026年一季度，债券市场呈震荡分化格局，收益率曲线陡峭化。短端收益率受资金面宽松及同业活期存款自律下调预期影响，下行明显；长端则在权益市场走强、政府债供给担忧、美伊局势带动通胀预期升温等因素叠加扰动下呈震荡格局。具体而言，1月债市呈先抑后扬走势，月初受权益市场热度上升和利率债供给预期扰动，收益率承压调整；中下旬，央行结构性降息政策落地，资金面平稳宽松，债市情绪好转，收益率有所回落。2月，在央行呵护跨节流动性、权益市场压制减弱等因素叠加共振下，债市相对平稳，整体震荡偏强。3月，债市在多空博弈中整体呈震荡加剧、短强长弱格局，曲线陡峭化态势加剧，资金面宽松托底短端，地缘冲突带动通胀预期升温压制长端。 </w:t>
      </w:r>
    </w:p>
    <w:p w:rsidR="00C873CF">
      <w:pPr>
        <w:ind w:firstLine="420" w:firstLineChars="200"/>
        <w:rPr>
          <w:rFonts w:ascii="宋体" w:hAnsi="宋体"/>
          <w:sz w:val="24"/>
          <w:szCs w:val="24"/>
          <w:shd w:val="clear" w:color="auto" w:fill="FFFFFF"/>
        </w:rPr>
      </w:pPr>
      <w:r>
        <w:rPr>
          <w:rFonts w:ascii="宋体" w:hAnsi="宋体"/>
          <w:sz w:val="24"/>
          <w:szCs w:val="24"/>
          <w:shd w:val="clear" w:color="auto" w:fill="FFFFFF"/>
        </w:rPr>
        <w:t>本产品为高频开放的短债产品，报告期内秉持稳健投资理念，严控回撤，运作平稳。资产配置以存款、存单与短久期中高等级信用债为主要方向，平衡产品安全性与收益；并依据宏观环境及市场情绪变化，灵活优化组合久期与资产结构，借助交易机会实现收益增厚。</w:t>
      </w:r>
      <w:bookmarkEnd w:id="20"/>
    </w:p>
    <w:p w:rsidR="00C873CF">
      <w:pPr>
        <w:ind w:firstLine="420" w:firstLineChars="200"/>
        <w:rPr>
          <w:rFonts w:ascii="宋体" w:hAnsi="宋体"/>
          <w:sz w:val="24"/>
          <w:shd w:val="clear" w:color="auto" w:fill="FFFFFF"/>
        </w:rPr>
      </w:pPr>
      <w:r>
        <w:rPr>
          <w:rFonts w:ascii="宋体" w:eastAsia="宋体" w:hAnsi="宋体" w:cs="宋体"/>
          <w:b w:val="0"/>
          <w:i w:val="0"/>
          <w:color w:val="000000"/>
          <w:position w:val="-1"/>
          <w:sz w:val="24"/>
          <w:u w:val="none"/>
        </w:rPr>
        <w:t xml:space="preserve"> </w:t>
      </w:r>
    </w:p>
    <w:p w:rsidR="00C873CF">
      <w:pPr>
        <w:pStyle w:val="Heading3"/>
        <w:rPr>
          <w:sz w:val="24"/>
          <w:szCs w:val="24"/>
          <w:highlight w:val="yellow"/>
          <w:shd w:val="clear" w:color="auto" w:fill="FFFFFF"/>
        </w:rPr>
      </w:pPr>
      <w:r>
        <w:rPr>
          <w:rFonts w:hint="eastAsia"/>
          <w:sz w:val="24"/>
          <w:szCs w:val="24"/>
          <w:shd w:val="clear" w:color="auto" w:fill="FFFFFF"/>
        </w:rPr>
        <w:t>4.1.2 报告期内理财产品流动性风险分析</w:t>
      </w:r>
    </w:p>
    <w:p w:rsidR="00C873CF">
      <w:pPr>
        <w:ind w:firstLine="420" w:firstLineChars="200"/>
        <w:rPr>
          <w:sz w:val="24"/>
          <w:shd w:val="clear" w:color="auto" w:fill="FFFFFF"/>
        </w:rPr>
      </w:pPr>
      <w:r>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C873CF">
      <w:pPr>
        <w:ind w:firstLine="420" w:firstLineChars="200"/>
        <w:rPr>
          <w:sz w:val="24"/>
          <w:shd w:val="clear" w:color="auto" w:fill="FFFFFF"/>
        </w:rPr>
      </w:pPr>
      <w:r>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C873CF">
      <w:pPr>
        <w:pStyle w:val="Heading3"/>
        <w:rPr>
          <w:sz w:val="24"/>
          <w:szCs w:val="24"/>
          <w:shd w:val="clear" w:color="auto" w:fill="FFFFFF"/>
        </w:rPr>
      </w:pPr>
      <w:r>
        <w:rPr>
          <w:rFonts w:hint="eastAsia"/>
          <w:sz w:val="24"/>
          <w:szCs w:val="24"/>
          <w:shd w:val="clear" w:color="auto" w:fill="FFFFFF"/>
        </w:rPr>
        <w:t>4.1.</w:t>
      </w:r>
      <w:r>
        <w:rPr>
          <w:sz w:val="24"/>
          <w:szCs w:val="24"/>
          <w:shd w:val="clear" w:color="auto" w:fill="FFFFFF"/>
        </w:rPr>
        <w:t>3</w:t>
      </w:r>
      <w:r>
        <w:rPr>
          <w:rFonts w:hint="eastAsia"/>
          <w:sz w:val="24"/>
          <w:szCs w:val="24"/>
          <w:shd w:val="clear" w:color="auto" w:fill="FFFFFF"/>
        </w:rPr>
        <w:t xml:space="preserve"> 管理人对未来的简要展望</w:t>
      </w:r>
    </w:p>
    <w:p w:rsidR="00C873CF">
      <w:pPr>
        <w:ind w:firstLine="420" w:firstLineChars="200"/>
        <w:rPr>
          <w:rFonts w:ascii="宋体" w:hAnsi="宋体"/>
          <w:sz w:val="24"/>
          <w:szCs w:val="24"/>
          <w:shd w:val="clear" w:color="auto" w:fill="FFFFFF"/>
        </w:rPr>
      </w:pPr>
      <w:bookmarkStart w:id="21" w:name="简要展望"/>
      <w:r>
        <w:rPr>
          <w:rFonts w:ascii="宋体" w:hAnsi="宋体"/>
          <w:sz w:val="24"/>
          <w:szCs w:val="24"/>
          <w:shd w:val="clear" w:color="auto" w:fill="FFFFFF"/>
        </w:rPr>
        <w:t>展望2026年二季度，债市面临内外多空因素交织，外有地缘扰动、内有供给压力，市场波动率或有所走高。受益于央行宽松意图未改，预计短端具备较强确定性。长端利率则可能受地缘政治不确定性影响，波动率或有所放大。后续需重点关注地缘政治演绎、央行货币政策变化、通胀预期上升对债券市场的影响。</w:t>
      </w:r>
      <w:bookmarkEnd w:id="21"/>
    </w:p>
    <w:p w:rsidR="00C873CF">
      <w:pPr>
        <w:pStyle w:val="Heading2"/>
        <w:rPr>
          <w:sz w:val="24"/>
          <w:szCs w:val="24"/>
          <w:shd w:val="clear" w:color="auto" w:fill="FFFFFF"/>
        </w:rPr>
      </w:pPr>
      <w:bookmarkStart w:id="22" w:name="_Toc256000010"/>
      <w:r>
        <w:rPr>
          <w:rFonts w:hint="eastAsia"/>
          <w:sz w:val="24"/>
          <w:szCs w:val="24"/>
          <w:shd w:val="clear" w:color="auto" w:fill="FFFFFF"/>
        </w:rPr>
        <w:t>4.2 理财产品报告期内关联交易发生情况</w:t>
      </w:r>
      <w:bookmarkEnd w:id="22"/>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0.00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5,000,000.00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rsidR="000E06DE">
      <w:pPr>
        <w:ind w:firstLine="420" w:firstLineChars="200"/>
        <w:rPr>
          <w:rFonts w:ascii="宋体" w:hAnsi="宋体"/>
          <w:sz w:val="24"/>
          <w:szCs w:val="24"/>
          <w:lang w:val="zh-CN"/>
        </w:rPr>
      </w:pPr>
      <w:r>
        <w:rPr>
          <w:rFonts w:ascii="宋体" w:eastAsia="宋体" w:hAnsi="宋体" w:cs="宋体"/>
          <w:b w:val="0"/>
          <w:color w:val="000000"/>
          <w:sz w:val="24"/>
        </w:rPr>
        <w:t>1、本产品投资于关联方发行管理的资管产品，应付管理费4,787.45元；</w:t>
      </w:r>
    </w:p>
    <w:p w:rsidR="000E06DE" w:rsidRPr="001B5777" w:rsidP="001B5777">
      <w:pPr>
        <w:rPr>
          <w:rFonts w:ascii="宋体" w:hAnsi="宋体"/>
          <w:sz w:val="18"/>
          <w:szCs w:val="18"/>
          <w:shd w:val="clear" w:color="auto" w:fill="FFFFFF"/>
        </w:rPr>
      </w:pPr>
      <w:r w:rsidRPr="001B5777">
        <w:rPr>
          <w:rFonts w:ascii="宋体" w:hAnsi="宋体" w:hint="eastAsia"/>
          <w:szCs w:val="21"/>
          <w:shd w:val="clear" w:color="auto" w:fill="FFFFFF"/>
        </w:rPr>
        <w:t>注：此处管理费为应付金额，根据管理人或托管行等第三方提供的管理费率按日加总计算，可能与实付金额存在一定误差。</w:t>
      </w:r>
      <w:r>
        <w:cr/>
      </w:r>
      <w:r>
        <w:rPr>
          <w:rFonts w:ascii="宋体" w:eastAsia="宋体" w:hAnsi="宋体" w:cs="宋体"/>
          <w:b w:val="0"/>
          <w:i w:val="0"/>
          <w:color w:val="000000"/>
          <w:position w:val="-1"/>
          <w:sz w:val="24"/>
          <w:u w:val="none"/>
        </w:rPr>
        <w:t xml:space="preserve">    2、报告期内，本产品向招商银行股份有限公司实付销售服务费用163,864.92元，实付托管费用62,704.15元。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12,732,000.00</w:t>
      </w:r>
      <w:r>
        <w:rPr>
          <w:rFonts w:ascii="宋体" w:hAnsi="宋体" w:hint="eastAsia"/>
          <w:sz w:val="24"/>
          <w:szCs w:val="24"/>
          <w:lang w:val="zh-CN"/>
        </w:rPr>
        <w:t>元。</w:t>
      </w:r>
    </w:p>
    <w:p w:rsidR="000E06DE">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rsidR="000E06DE" w:rsidP="006979CC">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C873CF" w:rsidRPr="008674DD" w:rsidP="008674DD">
      <w:pPr>
        <w:pStyle w:val="Heading1"/>
        <w:spacing w:line="360" w:lineRule="auto"/>
        <w:jc w:val="center"/>
        <w:rPr>
          <w:rFonts w:ascii="宋体" w:hAnsi="宋体"/>
          <w:sz w:val="24"/>
          <w:szCs w:val="24"/>
          <w:shd w:val="clear" w:color="auto" w:fill="FFFFFF"/>
        </w:rPr>
      </w:pPr>
      <w:bookmarkStart w:id="24" w:name="_Toc256000011"/>
      <w:r>
        <w:rPr>
          <w:rFonts w:ascii="宋体" w:hAnsi="宋体" w:hint="eastAsia"/>
          <w:sz w:val="24"/>
          <w:szCs w:val="24"/>
          <w:shd w:val="clear" w:color="auto" w:fill="FFFFFF"/>
        </w:rPr>
        <w:t>§</w:t>
      </w:r>
      <w:r>
        <w:rPr>
          <w:rFonts w:ascii="宋体" w:hAnsi="宋体"/>
          <w:sz w:val="24"/>
          <w:szCs w:val="24"/>
          <w:shd w:val="clear" w:color="auto" w:fill="FFFFFF"/>
        </w:rPr>
        <w:t>5</w:t>
      </w:r>
      <w:r>
        <w:rPr>
          <w:rFonts w:ascii="宋体" w:hAnsi="宋体" w:hint="eastAsia"/>
          <w:sz w:val="24"/>
          <w:szCs w:val="24"/>
          <w:shd w:val="clear" w:color="auto" w:fill="FFFFFF"/>
        </w:rPr>
        <w:t xml:space="preserve"> 投资组合报告</w:t>
      </w:r>
      <w:bookmarkEnd w:id="24"/>
      <w:bookmarkStart w:id="25" w:name="_Toc12382928"/>
      <w:bookmarkStart w:id="26" w:name="章节5"/>
    </w:p>
    <w:p w:rsidR="00BC02A8">
      <w:pPr>
        <w:pStyle w:val="Heading2"/>
        <w:rPr>
          <w:b w:val="0"/>
          <w:bCs/>
          <w:sz w:val="24"/>
          <w:szCs w:val="24"/>
          <w:shd w:val="clear" w:color="auto" w:fill="FFFFFF"/>
        </w:rPr>
      </w:pPr>
      <w:bookmarkStart w:id="27" w:name="_Toc256000012"/>
      <w:r>
        <w:rPr>
          <w:b/>
          <w:i w:val="0"/>
          <w:color w:val="000000"/>
          <w:position w:val="-1"/>
          <w:sz w:val="24"/>
          <w:u w:val="none"/>
        </w:rPr>
        <w:t>5.1 期末理财产品资产组合情况</w:t>
      </w:r>
      <w:bookmarkEnd w:id="27"/>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747,684,182.03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7.79</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3,355,255,654.33</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34.95</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296,676,051.27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3.09</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296,676,051.27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3.09</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3,620,172,479.91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37.70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3,620,172,479.91</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37.70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1,497,007,773.40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15.59</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1,497,007,773.40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15.59</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733,486,915.68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7.64</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3,369,790,047.48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35.10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70,004,219.18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0.73</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98,814,649.58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1.03</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9,601,334,753.27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9,601,413,524.17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28" w:name="_Toc256000013"/>
      <w:r>
        <w:rPr>
          <w:b/>
          <w:i w:val="0"/>
          <w:color w:val="000000"/>
          <w:position w:val="-1"/>
          <w:sz w:val="24"/>
          <w:u w:val="none"/>
        </w:rPr>
        <w:t>5.2 期末投资组合前十项资产</w:t>
      </w:r>
      <w:bookmarkEnd w:id="28"/>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银华活钱宝F</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500,655,554.46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5.21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定期存款125015337006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358,080,985.44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3.73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26建设银行CD062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296,676,051.27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3.09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定期存款125015337013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232,088,206.89</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2.42</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定期存款125015337012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223,467,651.94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2.33</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定期存款125015337009</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217,204,248.66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定期存款125015337003</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199,539,364.88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2.08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定期存款125012870IBD20251028300030</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152,459,550.43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定期存款12405069900260319</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143,076,669.03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1.49</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定期存款125015337007</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140,665,333.73</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1.47</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9" w:name="_Toc256000014"/>
      <w:r>
        <w:rPr>
          <w:b/>
          <w:i w:val="0"/>
          <w:color w:val="000000"/>
          <w:position w:val="-1"/>
          <w:sz w:val="24"/>
          <w:u w:val="none"/>
        </w:rPr>
        <w:t>5.3 报告期末非标准化债权类资产信息</w:t>
      </w:r>
      <w:bookmarkEnd w:id="29"/>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30" w:name="_Toc256000015"/>
      <w:r>
        <w:rPr>
          <w:b/>
          <w:i w:val="0"/>
          <w:color w:val="000000"/>
          <w:position w:val="-1"/>
          <w:sz w:val="24"/>
          <w:u w:val="none"/>
        </w:rPr>
        <w:t>5.4 报告期内到期的非标准化债权类资产及收益情况</w:t>
      </w:r>
      <w:bookmarkEnd w:id="30"/>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31" w:name="_Toc256000016"/>
      <w:r>
        <w:rPr>
          <w:b/>
          <w:i w:val="0"/>
          <w:color w:val="000000"/>
          <w:position w:val="-1"/>
          <w:sz w:val="24"/>
          <w:u w:val="none"/>
        </w:rPr>
        <w:t>5.5 报告期末信贷资产收受益权资产信息</w:t>
      </w:r>
      <w:bookmarkEnd w:id="31"/>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33" w:name="_Toc256000018"/>
      <w:r>
        <w:rPr>
          <w:b/>
          <w:color w:val="000000"/>
          <w:sz w:val="24"/>
        </w:rPr>
        <w:t>5.6 报告期末商品及金融衍生品资产信息</w:t>
      </w:r>
      <w:bookmarkEnd w:id="33"/>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C873CF">
      <w:bookmarkStart w:id="34" w:name="现金类理财"/>
      <w:bookmarkStart w:id="35" w:name="托管人"/>
      <w:bookmarkEnd w:id="34"/>
      <w:bookmarkEnd w:id="35"/>
    </w:p>
    <w:p w:rsidR="00C873CF">
      <w:pPr>
        <w:jc w:val="right"/>
        <w:rPr>
          <w:rFonts w:ascii="宋体" w:hAnsi="宋体"/>
          <w:sz w:val="24"/>
          <w:szCs w:val="24"/>
        </w:rPr>
      </w:pPr>
      <w:r>
        <w:rPr>
          <w:rFonts w:ascii="宋体" w:eastAsia="宋体" w:hAnsi="宋体" w:cs="宋体"/>
          <w:b w:val="0"/>
          <w:i w:val="0"/>
          <w:color w:val="000000"/>
          <w:position w:val="-1"/>
          <w:sz w:val="24"/>
          <w:u w:val="none"/>
        </w:rPr>
        <w:t>招银理财有限责任公司</w:t>
      </w:r>
    </w:p>
    <w:p w:rsidR="00C873CF">
      <w:pPr>
        <w:jc w:val="right"/>
        <w:rPr>
          <w:rFonts w:ascii="宋体" w:hAnsi="宋体"/>
          <w:sz w:val="24"/>
          <w:szCs w:val="24"/>
        </w:rPr>
      </w:pPr>
      <w:r>
        <w:rPr>
          <w:rFonts w:ascii="宋体" w:eastAsia="宋体" w:hAnsi="宋体" w:cs="宋体"/>
          <w:b w:val="0"/>
          <w:i w:val="0"/>
          <w:color w:val="000000"/>
          <w:position w:val="-1"/>
          <w:sz w:val="24"/>
          <w:u w:val="none"/>
        </w:rPr>
        <w:t>2026年03月31日</w:t>
      </w:r>
    </w:p>
    <w:sectPr>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C873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Footer"/>
      <w:jc w:val="center"/>
    </w:pPr>
    <w: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73CF">
    <w:pPr>
      <w:pStyle w:val="Header"/>
      <w:jc w:val="left"/>
    </w:pPr>
    <w:r>
      <w:rPr>
        <w:rFonts w:ascii="宋体" w:eastAsia="宋体" w:hAnsi="宋体" w:cs="宋体"/>
        <w:b w:val="0"/>
        <w:i w:val="0"/>
        <w:color w:val="000000"/>
        <w:position w:val="-1"/>
        <w:u w:val="none"/>
      </w:rPr>
      <w:t>招银理财招睿添金7天持有期5号固定收益类理财计划2026年第1季度报告（产品代码：120015）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left" w:pos="360"/>
        </w:tabs>
        <w:ind w:left="360" w:hanging="360"/>
      </w:pPr>
      <w:rPr>
        <w:rFonts w:hint="default"/>
      </w:rPr>
    </w:lvl>
    <w:lvl w:ilvl="1">
      <w:start w:val="1"/>
      <w:numFmt w:val="lowerLetter"/>
      <w:pStyle w:val="2111111"/>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left" w:pos="780"/>
        </w:tabs>
        <w:ind w:left="780" w:hanging="360"/>
      </w:pPr>
      <w:rPr>
        <w:rFonts w:hint="default"/>
        <w:color w:val="0000FF"/>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lsdException w:name="annotation reference" w:uiPriority="99"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rPr>
  </w:style>
  <w:style w:type="paragraph" w:styleId="Heading1">
    <w:name w:val="heading 1"/>
    <w:basedOn w:val="Normal"/>
    <w:next w:val="Normal"/>
    <w:link w:val="10"/>
    <w:qFormat/>
    <w:pPr>
      <w:keepNext/>
      <w:keepLines/>
      <w:spacing w:before="340" w:after="330" w:line="576" w:lineRule="auto"/>
      <w:outlineLvl w:val="0"/>
    </w:pPr>
    <w:rPr>
      <w:b/>
      <w:kern w:val="44"/>
      <w:sz w:val="44"/>
      <w:lang w:val="zh-CN"/>
    </w:rPr>
  </w:style>
  <w:style w:type="paragraph" w:styleId="Heading2">
    <w:name w:val="heading 2"/>
    <w:basedOn w:val="Normal"/>
    <w:next w:val="Normal"/>
    <w:link w:val="2"/>
    <w:qFormat/>
    <w:pPr>
      <w:keepNext/>
      <w:keepLines/>
      <w:spacing w:before="260" w:after="260" w:line="413" w:lineRule="auto"/>
      <w:outlineLvl w:val="1"/>
    </w:pPr>
    <w:rPr>
      <w:rFonts w:ascii="宋体" w:hAnsi="宋体"/>
      <w:b/>
      <w:sz w:val="26"/>
    </w:rPr>
  </w:style>
  <w:style w:type="paragraph" w:styleId="Heading3">
    <w:name w:val="heading 3"/>
    <w:basedOn w:val="Normal"/>
    <w:next w:val="Normal"/>
    <w:qFormat/>
    <w:pPr>
      <w:keepNext/>
      <w:keepLines/>
      <w:spacing w:before="260" w:after="260" w:line="413" w:lineRule="auto"/>
      <w:outlineLvl w:val="2"/>
    </w:pPr>
    <w:rPr>
      <w:rFonts w:ascii="宋体" w:hAnsi="宋体"/>
      <w:b/>
      <w:sz w:val="26"/>
    </w:rPr>
  </w:style>
  <w:style w:type="paragraph" w:styleId="Heading4">
    <w:name w:val="heading 4"/>
    <w:basedOn w:val="Normal"/>
    <w:next w:val="Normal"/>
    <w:qFormat/>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pPr>
      <w:keepNext/>
      <w:keepLines/>
      <w:spacing w:before="280" w:after="290" w:line="372" w:lineRule="auto"/>
      <w:outlineLvl w:val="4"/>
    </w:pPr>
    <w:rPr>
      <w:b/>
      <w:sz w:val="28"/>
    </w:rPr>
  </w:style>
  <w:style w:type="paragraph" w:styleId="Heading6">
    <w:name w:val="heading 6"/>
    <w:basedOn w:val="Normal"/>
    <w:next w:val="Normal"/>
    <w:qFormat/>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ind w:left="2520" w:leftChars="1200"/>
    </w:pPr>
    <w:rPr>
      <w:rFonts w:ascii="Calibri" w:hAnsi="Calibri"/>
      <w:szCs w:val="22"/>
    </w:rPr>
  </w:style>
  <w:style w:type="paragraph" w:styleId="DocumentMap">
    <w:name w:val="Document Map"/>
    <w:basedOn w:val="Normal"/>
    <w:pPr>
      <w:shd w:val="clear" w:color="auto" w:fill="000080"/>
    </w:pPr>
  </w:style>
  <w:style w:type="paragraph" w:styleId="CommentText">
    <w:name w:val="annotation text"/>
    <w:basedOn w:val="Normal"/>
    <w:link w:val="a0"/>
    <w:uiPriority w:val="99"/>
    <w:qFormat/>
    <w:pPr>
      <w:jc w:val="left"/>
    </w:pPr>
  </w:style>
  <w:style w:type="paragraph" w:styleId="BodyText">
    <w:name w:val="Body Text"/>
    <w:basedOn w:val="Normal"/>
    <w:link w:val="a"/>
    <w:qFormat/>
    <w:pPr>
      <w:adjustRightInd w:val="0"/>
      <w:snapToGrid w:val="0"/>
      <w:spacing w:line="324" w:lineRule="auto"/>
      <w:ind w:right="28"/>
      <w:jc w:val="left"/>
    </w:pPr>
    <w:rPr>
      <w:rFonts w:ascii="仿宋_GB2312" w:eastAsia="仿宋_GB2312"/>
      <w:kern w:val="0"/>
      <w:sz w:val="28"/>
    </w:rPr>
  </w:style>
  <w:style w:type="paragraph" w:styleId="TOC5">
    <w:name w:val="toc 5"/>
    <w:basedOn w:val="Normal"/>
    <w:next w:val="Normal"/>
    <w:uiPriority w:val="39"/>
    <w:unhideWhenUsed/>
    <w:qFormat/>
    <w:pPr>
      <w:ind w:left="1680" w:leftChars="800"/>
    </w:pPr>
    <w:rPr>
      <w:rFonts w:ascii="Calibri" w:hAnsi="Calibri"/>
      <w:szCs w:val="22"/>
    </w:rPr>
  </w:style>
  <w:style w:type="paragraph" w:styleId="TOC3">
    <w:name w:val="toc 3"/>
    <w:basedOn w:val="Normal"/>
    <w:next w:val="Normal"/>
    <w:uiPriority w:val="39"/>
    <w:unhideWhenUsed/>
    <w:qFormat/>
    <w:pPr>
      <w:ind w:left="840" w:leftChars="400"/>
    </w:pPr>
    <w:rPr>
      <w:rFonts w:ascii="Calibri" w:hAnsi="Calibri"/>
      <w:szCs w:val="22"/>
    </w:rPr>
  </w:style>
  <w:style w:type="paragraph" w:styleId="TOC8">
    <w:name w:val="toc 8"/>
    <w:basedOn w:val="Normal"/>
    <w:next w:val="Normal"/>
    <w:uiPriority w:val="39"/>
    <w:unhideWhenUsed/>
    <w:qFormat/>
    <w:pPr>
      <w:ind w:left="2940" w:leftChars="1400"/>
    </w:pPr>
    <w:rPr>
      <w:rFonts w:ascii="Calibri" w:hAnsi="Calibri"/>
      <w:szCs w:val="22"/>
    </w:rPr>
  </w:style>
  <w:style w:type="paragraph" w:styleId="Date">
    <w:name w:val="Date"/>
    <w:basedOn w:val="Normal"/>
    <w:next w:val="Normal"/>
    <w:qFormat/>
    <w:rPr>
      <w:sz w:val="24"/>
    </w:rPr>
  </w:style>
  <w:style w:type="paragraph" w:styleId="EndnoteText">
    <w:name w:val="endnote text"/>
    <w:basedOn w:val="Normal"/>
    <w:link w:val="a3"/>
    <w:semiHidden/>
    <w:unhideWhenUsed/>
    <w:qFormat/>
    <w:pPr>
      <w:snapToGrid w:val="0"/>
      <w:jc w:val="left"/>
    </w:pPr>
  </w:style>
  <w:style w:type="paragraph" w:styleId="BalloonText">
    <w:name w:val="Balloon Text"/>
    <w:basedOn w:val="Normal"/>
    <w:qFormat/>
    <w:rPr>
      <w:sz w:val="18"/>
    </w:rPr>
  </w:style>
  <w:style w:type="paragraph" w:styleId="Footer">
    <w:name w:val="footer"/>
    <w:basedOn w:val="Normal"/>
    <w:link w:val="a2"/>
    <w:uiPriority w:val="99"/>
    <w:qFormat/>
    <w:pPr>
      <w:tabs>
        <w:tab w:val="center" w:pos="4153"/>
        <w:tab w:val="right" w:pos="8306"/>
      </w:tabs>
      <w:snapToGrid w:val="0"/>
      <w:jc w:val="left"/>
    </w:pPr>
    <w:rPr>
      <w:sz w:val="18"/>
      <w:lang w:val="zh-CN"/>
    </w:rPr>
  </w:style>
  <w:style w:type="paragraph" w:styleId="Header">
    <w:name w:val="header"/>
    <w:basedOn w:val="Normal"/>
    <w:qFormat/>
    <w:pPr>
      <w:pBdr>
        <w:bottom w:val="single" w:sz="6" w:space="1" w:color="auto"/>
      </w:pBdr>
      <w:tabs>
        <w:tab w:val="center" w:pos="4153"/>
        <w:tab w:val="right" w:pos="8306"/>
      </w:tabs>
      <w:snapToGrid w:val="0"/>
      <w:jc w:val="center"/>
    </w:pPr>
    <w:rPr>
      <w:sz w:val="18"/>
    </w:rPr>
  </w:style>
  <w:style w:type="paragraph" w:styleId="TOC1">
    <w:name w:val="toc 1"/>
    <w:basedOn w:val="Normal"/>
    <w:next w:val="Normal"/>
    <w:uiPriority w:val="39"/>
    <w:qFormat/>
  </w:style>
  <w:style w:type="paragraph" w:styleId="TOC4">
    <w:name w:val="toc 4"/>
    <w:basedOn w:val="Normal"/>
    <w:next w:val="Normal"/>
    <w:uiPriority w:val="39"/>
    <w:unhideWhenUsed/>
    <w:qFormat/>
    <w:pPr>
      <w:ind w:left="1260" w:leftChars="600"/>
    </w:pPr>
    <w:rPr>
      <w:rFonts w:ascii="Calibri" w:hAnsi="Calibri"/>
      <w:szCs w:val="22"/>
    </w:rPr>
  </w:style>
  <w:style w:type="paragraph" w:styleId="FootnoteText">
    <w:name w:val="footnote text"/>
    <w:basedOn w:val="Normal"/>
    <w:link w:val="a4"/>
    <w:qFormat/>
    <w:pPr>
      <w:snapToGrid w:val="0"/>
      <w:jc w:val="left"/>
    </w:pPr>
    <w:rPr>
      <w:sz w:val="18"/>
    </w:rPr>
  </w:style>
  <w:style w:type="paragraph" w:styleId="TOC6">
    <w:name w:val="toc 6"/>
    <w:basedOn w:val="Normal"/>
    <w:next w:val="Normal"/>
    <w:uiPriority w:val="39"/>
    <w:unhideWhenUsed/>
    <w:qFormat/>
    <w:pPr>
      <w:ind w:left="2100" w:leftChars="1000"/>
    </w:pPr>
    <w:rPr>
      <w:rFonts w:ascii="Calibri" w:hAnsi="Calibri"/>
      <w:szCs w:val="22"/>
    </w:rPr>
  </w:style>
  <w:style w:type="paragraph" w:styleId="TOC2">
    <w:name w:val="toc 2"/>
    <w:basedOn w:val="Normal"/>
    <w:next w:val="Normal"/>
    <w:uiPriority w:val="39"/>
    <w:qFormat/>
    <w:pPr>
      <w:ind w:left="420" w:leftChars="200"/>
    </w:pPr>
  </w:style>
  <w:style w:type="paragraph" w:styleId="TOC9">
    <w:name w:val="toc 9"/>
    <w:basedOn w:val="Normal"/>
    <w:next w:val="Normal"/>
    <w:uiPriority w:val="39"/>
    <w:unhideWhenUsed/>
    <w:qFormat/>
    <w:pPr>
      <w:ind w:left="3360" w:leftChars="1600"/>
    </w:pPr>
    <w:rPr>
      <w:rFonts w:ascii="Calibri" w:hAnsi="Calibri"/>
      <w:szCs w:val="22"/>
    </w:rPr>
  </w:style>
  <w:style w:type="paragraph" w:styleId="BodyText2">
    <w:name w:val="Body Text 2"/>
    <w:basedOn w:val="Normal"/>
    <w:qFormat/>
    <w:pPr>
      <w:spacing w:after="120" w:line="480" w:lineRule="auto"/>
    </w:pPr>
  </w:style>
  <w:style w:type="paragraph" w:styleId="NormalWeb">
    <w:name w:val="Normal (Web)"/>
    <w:basedOn w:val="Normal"/>
    <w:uiPriority w:val="99"/>
    <w:qFormat/>
    <w:pPr>
      <w:widowControl/>
      <w:spacing w:before="100" w:beforeAutospacing="1" w:after="100" w:afterAutospacing="1"/>
      <w:jc w:val="left"/>
    </w:pPr>
    <w:rPr>
      <w:rFonts w:ascii="宋体" w:hAnsi="宋体"/>
      <w:kern w:val="0"/>
      <w:sz w:val="24"/>
    </w:rPr>
  </w:style>
  <w:style w:type="paragraph" w:styleId="CommentSubject">
    <w:name w:val="annotation subject"/>
    <w:basedOn w:val="CommentText"/>
    <w:next w:val="CommentText"/>
    <w:qFormat/>
    <w:rPr>
      <w: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styleId="EndnoteReference">
    <w:name w:val="endnote reference"/>
    <w:semiHidden/>
    <w:unhideWhenUsed/>
    <w:qFormat/>
    <w:rPr>
      <w:vertAlign w:val="superscript"/>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uiPriority w:val="99"/>
    <w:qFormat/>
    <w:rPr>
      <w:sz w:val="21"/>
    </w:rPr>
  </w:style>
  <w:style w:type="character" w:styleId="FootnoteReference">
    <w:name w:val="footnote reference"/>
    <w:uiPriority w:val="99"/>
    <w:rPr>
      <w:vertAlign w:val="superscript"/>
    </w:rPr>
  </w:style>
  <w:style w:type="character" w:customStyle="1" w:styleId="a">
    <w:name w:val="正文文本 字符"/>
    <w:link w:val="BodyText"/>
    <w:qFormat/>
    <w:rPr>
      <w:rFonts w:ascii="仿宋_GB2312" w:eastAsia="仿宋_GB2312"/>
      <w:sz w:val="28"/>
      <w:lang w:val="en-US" w:eastAsia="zh-CN"/>
    </w:rPr>
  </w:style>
  <w:style w:type="character" w:customStyle="1" w:styleId="2CharCharChar">
    <w:name w:val="标题 2 Char Char Char"/>
    <w:rPr>
      <w:rFonts w:ascii="Arial" w:eastAsia="宋体" w:hAnsi="Arial"/>
      <w:b/>
      <w:kern w:val="2"/>
      <w:sz w:val="28"/>
      <w:lang w:val="en-US" w:eastAsia="zh-CN"/>
    </w:rPr>
  </w:style>
  <w:style w:type="character" w:customStyle="1" w:styleId="a0">
    <w:name w:val="批注文字 字符"/>
    <w:link w:val="CommentText"/>
    <w:uiPriority w:val="99"/>
    <w:qFormat/>
    <w:rPr>
      <w:rFonts w:eastAsia="宋体"/>
      <w:kern w:val="2"/>
      <w:sz w:val="21"/>
      <w:lang w:val="en-US" w:eastAsia="zh-CN"/>
    </w:rPr>
  </w:style>
  <w:style w:type="character" w:customStyle="1" w:styleId="1">
    <w:name w:val="已访问的超链接1"/>
    <w:rPr>
      <w:color w:val="800080"/>
      <w:u w:val="single"/>
    </w:rPr>
  </w:style>
  <w:style w:type="character" w:customStyle="1" w:styleId="afont1">
    <w:name w:val="afont1"/>
    <w:qFormat/>
    <w:rPr>
      <w:rFonts w:ascii="Arial Narrow" w:hAnsi="Arial Narrow" w:hint="default"/>
      <w:sz w:val="21"/>
    </w:rPr>
  </w:style>
  <w:style w:type="character" w:customStyle="1" w:styleId="2">
    <w:name w:val="标题 2 字符"/>
    <w:link w:val="Heading2"/>
    <w:qFormat/>
    <w:rPr>
      <w:rFonts w:ascii="宋体" w:hAnsi="宋体"/>
      <w:b/>
      <w:kern w:val="2"/>
      <w:sz w:val="26"/>
    </w:rPr>
  </w:style>
  <w:style w:type="character" w:customStyle="1" w:styleId="CharCharCharCharCharCharCharChar">
    <w:name w:val="正文文字 Char Char Char Char Char Char Char Char"/>
    <w:qFormat/>
    <w:rPr>
      <w:rFonts w:ascii="仿宋_GB2312" w:eastAsia="仿宋_GB2312"/>
      <w:sz w:val="28"/>
      <w:lang w:val="en-US" w:eastAsia="zh-CN"/>
    </w:rPr>
  </w:style>
  <w:style w:type="paragraph" w:customStyle="1" w:styleId="115">
    <w:name w:val="样式 标题 1 + 段前: 1.5 行"/>
    <w:basedOn w:val="Normal"/>
    <w:pPr>
      <w:numPr>
        <w:numId w:val="1"/>
      </w:numPr>
    </w:pPr>
    <w:rPr>
      <w:sz w:val="24"/>
    </w:rPr>
  </w:style>
  <w:style w:type="paragraph" w:customStyle="1" w:styleId="CharChar2">
    <w:name w:val="Char Char2"/>
    <w:basedOn w:val="Normal"/>
    <w:qFormat/>
    <w:pPr>
      <w:autoSpaceDE w:val="0"/>
      <w:autoSpaceDN w:val="0"/>
      <w:adjustRightInd w:val="0"/>
      <w:jc w:val="left"/>
      <w:textAlignment w:val="baseline"/>
    </w:pPr>
    <w:rPr>
      <w:rFonts w:ascii="宋体"/>
      <w:kern w:val="0"/>
      <w:sz w:val="34"/>
    </w:rPr>
  </w:style>
  <w:style w:type="paragraph" w:customStyle="1" w:styleId="xl33">
    <w:name w:val="xl33"/>
    <w:basedOn w:val="Normal"/>
    <w:qFormat/>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qFormat/>
  </w:style>
  <w:style w:type="paragraph" w:customStyle="1" w:styleId="a1">
    <w:name w:val="简单回函地址"/>
    <w:basedOn w:val="Normal"/>
    <w:qFormat/>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qFormat/>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qFormat/>
    <w:pPr>
      <w:tabs>
        <w:tab w:val="left" w:pos="840"/>
      </w:tabs>
      <w:adjustRightInd w:val="0"/>
      <w:spacing w:line="360" w:lineRule="atLeast"/>
      <w:ind w:left="840" w:hanging="360"/>
      <w:textAlignment w:val="baseline"/>
    </w:pPr>
    <w:rPr>
      <w:sz w:val="24"/>
    </w:rPr>
  </w:style>
  <w:style w:type="paragraph" w:customStyle="1" w:styleId="Style22">
    <w:name w:val="_Style 22"/>
    <w:basedOn w:val="Normal"/>
    <w:qFormat/>
    <w:pPr>
      <w:autoSpaceDE w:val="0"/>
      <w:autoSpaceDN w:val="0"/>
      <w:adjustRightInd w:val="0"/>
      <w:jc w:val="left"/>
      <w:textAlignment w:val="baseline"/>
    </w:pPr>
  </w:style>
  <w:style w:type="paragraph" w:customStyle="1" w:styleId="FormLabel">
    <w:name w:val="Form Label"/>
    <w:basedOn w:val="Normal"/>
    <w:qFormat/>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qFormat/>
    <w:pPr>
      <w:numPr>
        <w:numId w:val="2"/>
      </w:numPr>
    </w:pPr>
    <w:rPr>
      <w:sz w:val="24"/>
    </w:rPr>
  </w:style>
  <w:style w:type="paragraph" w:customStyle="1" w:styleId="Char1CharCharCharChar">
    <w:name w:val="Char1 Char Char Char Char"/>
    <w:basedOn w:val="Normal"/>
    <w:qFormat/>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qFormat/>
    <w:pPr>
      <w:autoSpaceDE w:val="0"/>
      <w:autoSpaceDN w:val="0"/>
      <w:adjustRightInd w:val="0"/>
      <w:jc w:val="left"/>
      <w:textAlignment w:val="baseline"/>
    </w:pPr>
    <w:rPr>
      <w:rFonts w:ascii="宋体"/>
      <w:kern w:val="0"/>
      <w:sz w:val="34"/>
    </w:rPr>
  </w:style>
  <w:style w:type="paragraph" w:customStyle="1" w:styleId="2111111">
    <w:name w:val="样式 样式 样式 标题 2 + 段前: 1 行 段后: 1 行1 + 段前: 1 行 段后: 1 行 + 段前: 1 行 段后..."/>
    <w:basedOn w:val="Normal"/>
    <w:qFormat/>
    <w:pPr>
      <w:keepNext/>
      <w:keepLines/>
      <w:numPr>
        <w:ilvl w:val="1"/>
        <w:numId w:val="1"/>
      </w:numPr>
      <w:spacing w:before="447" w:after="447"/>
      <w:outlineLvl w:val="1"/>
    </w:pPr>
    <w:rPr>
      <w:rFonts w:ascii="Arial" w:hAnsi="Arial"/>
      <w:b/>
      <w:sz w:val="28"/>
    </w:rPr>
  </w:style>
  <w:style w:type="paragraph" w:customStyle="1" w:styleId="xl30">
    <w:name w:val="xl30"/>
    <w:basedOn w:val="Normal"/>
    <w:qFormat/>
    <w:pPr>
      <w:widowControl/>
      <w:spacing w:before="100" w:beforeAutospacing="1" w:after="100" w:afterAutospacing="1"/>
      <w:jc w:val="right"/>
    </w:pPr>
    <w:rPr>
      <w:rFonts w:eastAsia="Arial Unicode MS"/>
      <w:kern w:val="0"/>
    </w:rPr>
  </w:style>
  <w:style w:type="paragraph" w:customStyle="1" w:styleId="Char1">
    <w:name w:val="Char1"/>
    <w:basedOn w:val="Normal"/>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xl31">
    <w:name w:val="xl31"/>
    <w:basedOn w:val="Normal"/>
    <w:qFormat/>
    <w:pPr>
      <w:widowControl/>
      <w:spacing w:before="100" w:beforeAutospacing="1" w:after="100" w:afterAutospacing="1"/>
      <w:jc w:val="center"/>
      <w:textAlignment w:val="center"/>
    </w:pPr>
    <w:rPr>
      <w:rFonts w:ascii="宋体" w:hAnsi="宋体"/>
      <w:kern w:val="0"/>
      <w:sz w:val="24"/>
    </w:rPr>
  </w:style>
  <w:style w:type="character" w:customStyle="1" w:styleId="10">
    <w:name w:val="标题 1 字符"/>
    <w:link w:val="Heading1"/>
    <w:qFormat/>
    <w:rPr>
      <w:b/>
      <w:kern w:val="44"/>
      <w:sz w:val="44"/>
    </w:rPr>
  </w:style>
  <w:style w:type="paragraph" w:styleId="ListParagraph">
    <w:name w:val="List Paragraph"/>
    <w:basedOn w:val="Normal"/>
    <w:uiPriority w:val="34"/>
    <w:qFormat/>
    <w:pPr>
      <w:ind w:firstLine="420" w:firstLineChars="200"/>
    </w:pPr>
  </w:style>
  <w:style w:type="paragraph" w:customStyle="1" w:styleId="11">
    <w:name w:val="修订1"/>
    <w:hidden/>
    <w:uiPriority w:val="71"/>
    <w:unhideWhenUsed/>
    <w:qFormat/>
    <w:rPr>
      <w:kern w:val="2"/>
      <w:sz w:val="21"/>
    </w:rPr>
  </w:style>
  <w:style w:type="paragraph" w:customStyle="1" w:styleId="z-1">
    <w:name w:val="z-窗体底端1"/>
    <w:basedOn w:val="Normal"/>
    <w:next w:val="Normal"/>
    <w:link w:val="z-"/>
    <w:uiPriority w:val="99"/>
    <w:semiHidden/>
    <w:unhideWhenUsed/>
    <w:qFormat/>
    <w:pPr>
      <w:widowControl/>
      <w:pBdr>
        <w:top w:val="single" w:sz="6" w:space="1" w:color="auto"/>
      </w:pBdr>
      <w:jc w:val="center"/>
    </w:pPr>
    <w:rPr>
      <w:rFonts w:ascii="Arial" w:hAnsi="Arial"/>
      <w:vanish/>
      <w:kern w:val="0"/>
      <w:sz w:val="16"/>
      <w:szCs w:val="16"/>
      <w:lang w:val="zh-CN"/>
    </w:rPr>
  </w:style>
  <w:style w:type="character" w:customStyle="1" w:styleId="z-">
    <w:name w:val="z-窗体底端 字符"/>
    <w:link w:val="z-1"/>
    <w:uiPriority w:val="99"/>
    <w:semiHidden/>
    <w:qFormat/>
    <w:rPr>
      <w:rFonts w:ascii="Arial" w:hAnsi="Arial" w:cs="Arial"/>
      <w:vanish/>
      <w:sz w:val="16"/>
      <w:szCs w:val="16"/>
    </w:rPr>
  </w:style>
  <w:style w:type="paragraph" w:customStyle="1" w:styleId="CharCharCharCharCharCharCharCharCharCharCharChar">
    <w:name w:val="Char Char Char Char Char Char Char Char Char Char Char Char"/>
    <w:basedOn w:val="Normal"/>
    <w:qFormat/>
    <w:pPr>
      <w:widowControl/>
      <w:spacing w:after="160" w:line="240" w:lineRule="exact"/>
      <w:jc w:val="left"/>
    </w:pPr>
    <w:rPr>
      <w:rFonts w:ascii="Tahoma" w:hAnsi="Tahoma" w:cs="Tahoma"/>
      <w:szCs w:val="21"/>
    </w:rPr>
  </w:style>
  <w:style w:type="character" w:customStyle="1" w:styleId="a2">
    <w:name w:val="页脚 字符"/>
    <w:link w:val="Footer"/>
    <w:uiPriority w:val="99"/>
    <w:qFormat/>
    <w:rPr>
      <w:kern w:val="2"/>
      <w:sz w:val="18"/>
    </w:rPr>
  </w:style>
  <w:style w:type="paragraph" w:customStyle="1" w:styleId="p0">
    <w:name w:val="p0"/>
    <w:basedOn w:val="Normal"/>
    <w:qFormat/>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qFormat/>
  </w:style>
  <w:style w:type="character" w:customStyle="1" w:styleId="a3">
    <w:name w:val="尾注文本 字符"/>
    <w:link w:val="EndnoteText"/>
    <w:semiHidden/>
    <w:qFormat/>
    <w:rPr>
      <w:kern w:val="2"/>
      <w:sz w:val="21"/>
    </w:rPr>
  </w:style>
  <w:style w:type="character" w:customStyle="1" w:styleId="12">
    <w:name w:val="批注文字 字符1"/>
    <w:qFormat/>
    <w:rPr>
      <w:kern w:val="2"/>
      <w:sz w:val="21"/>
    </w:rPr>
  </w:style>
  <w:style w:type="character" w:customStyle="1" w:styleId="a4">
    <w:name w:val="脚注文本 字符"/>
    <w:link w:val="FootnoteText"/>
    <w:rPr>
      <w:kern w:val="2"/>
      <w:sz w:val="18"/>
    </w:rPr>
  </w:style>
  <w:style w:type="paragraph" w:customStyle="1" w:styleId="ccb">
    <w:name w:val="ccb正文"/>
    <w:basedOn w:val="Normal"/>
    <w:qFormat/>
    <w:pPr>
      <w:spacing w:line="360" w:lineRule="auto"/>
      <w:ind w:firstLine="560" w:firstLineChars="200"/>
    </w:pPr>
    <w:rPr>
      <w:rFonts w:ascii="彩虹小标宋" w:eastAsia="彩虹小标宋" w:hAnsi="宋体" w:cs="宋体"/>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AEEDF-06AC-430F-9779-BF07E3CB4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289</Words>
  <Characters>1652</Characters>
  <Application>Microsoft Office Word</Application>
  <DocSecurity>0</DocSecurity>
  <Lines>13</Lines>
  <Paragraphs>3</Paragraphs>
  <ScaleCrop>false</ScaleCrop>
  <Company>WwW.YlmF.CoM</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2026-03-02T06:01:00Z</dcterms:created>
  <dc:creator>CSRC</dc:creator>
  <cp:lastModifiedBy>胡伟</cp:lastModifiedBy>
  <cp:lastPrinted>2019-06-25T10:32:00Z</cp:lastPrinted>
  <dcterms:modified xsi:type="dcterms:W3CDTF">2026-03-02T06:01:00Z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35B5C29F3E794A559E6C4A059CD92EE0</vt:lpwstr>
  </property>
  <property fmtid="{D5CDD505-2E9C-101B-9397-08002B2CF9AE}" pid="3" name="KSOProductBuildVer">
    <vt:lpwstr>2052-11.8.2.12085</vt:lpwstr>
  </property>
</Properties>
</file>