
<file path=[Content_Types].xml><?xml version="1.0" encoding="utf-8"?>
<Types xmlns="http://schemas.openxmlformats.org/package/2006/content-types">
  <Default ContentType="application/vnd.openxmlformats-package.relationships+xml" Extension="rels"/>
  <Default ContentType="application/xml" Extension="xml"/>
  <Override ContentType="application/xml" PartName="/customXml/item1.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app.xml" Type="http://schemas.openxmlformats.org/officeDocument/2006/relationships/extended-properties"/>
<Relationship Id="rId3" Target="docProps/core.xml" Type="http://schemas.openxmlformats.org/package/2006/relationships/metadata/core-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5.11.0.0 -->
  <w:background w:color="ffffff">
    <v:background id="_x0000_s1025" filled="t"/>
  </w:background>
  <w:body>
    <w:p w:rsidR="00C873CF">
      <w:pPr>
        <w:jc w:val="center"/>
        <w:rPr>
          <w:rFonts w:ascii="宋体" w:hAnsi="宋体"/>
          <w:b/>
          <w:color w:val="000000"/>
          <w:sz w:val="32"/>
          <w:szCs w:val="32"/>
          <w:shd w:val="clear" w:color="auto" w:fill="FFFFFF"/>
        </w:rPr>
      </w:pPr>
      <w:bookmarkStart w:id="0" w:name="_GoBack"/>
      <w:bookmarkEnd w:id="0"/>
      <w:r>
        <w:rPr>
          <w:rFonts w:ascii="宋体" w:hAnsi="宋体" w:hint="eastAsia"/>
          <w:b/>
          <w:color w:val="000000"/>
          <w:sz w:val="32"/>
          <w:szCs w:val="32"/>
          <w:shd w:val="clear" w:color="auto" w:fill="FFFFFF"/>
        </w:rPr>
        <w:t xml:space="preserve"> </w:t>
      </w:r>
    </w:p>
    <w:p w:rsidR="00C873CF">
      <w:pPr>
        <w:jc w:val="center"/>
        <w:rPr>
          <w:rFonts w:ascii="宋体" w:hAnsi="宋体"/>
          <w:b/>
          <w:color w:val="000000"/>
          <w:sz w:val="32"/>
          <w:szCs w:val="32"/>
          <w:shd w:val="clear" w:color="auto" w:fill="FFFFFF"/>
        </w:rPr>
      </w:pPr>
    </w:p>
    <w:p w:rsidR="00C873CF">
      <w:pPr>
        <w:jc w:val="center"/>
        <w:rPr>
          <w:rFonts w:ascii="宋体" w:hAnsi="宋体"/>
          <w:b/>
          <w:color w:val="000000"/>
          <w:sz w:val="32"/>
          <w:szCs w:val="32"/>
          <w:shd w:val="clear" w:color="auto" w:fill="FFFFFF"/>
        </w:rPr>
      </w:pPr>
      <w:r>
        <w:rPr>
          <w:rFonts w:ascii="宋体" w:eastAsia="宋体" w:hAnsi="宋体" w:cs="宋体"/>
          <w:b/>
          <w:i w:val="0"/>
          <w:color w:val="000000"/>
          <w:position w:val="-1"/>
          <w:sz w:val="32"/>
          <w:u w:val="none"/>
        </w:rPr>
        <w:t>招银理财招睿鑫鼎7天持有期7号固定收益类理财计划</w:t>
      </w:r>
    </w:p>
    <w:p w:rsidR="00C873CF">
      <w:pPr>
        <w:jc w:val="center"/>
        <w:rPr>
          <w:rFonts w:ascii="宋体" w:hAnsi="宋体"/>
          <w:b/>
          <w:color w:val="000000"/>
          <w:sz w:val="32"/>
          <w:szCs w:val="32"/>
          <w:shd w:val="clear" w:color="auto" w:fill="FFFFFF"/>
        </w:rPr>
      </w:pPr>
      <w:r>
        <w:rPr>
          <w:rFonts w:ascii="宋体" w:eastAsia="宋体" w:hAnsi="宋体" w:cs="宋体"/>
          <w:b/>
          <w:i w:val="0"/>
          <w:color w:val="000000"/>
          <w:position w:val="-1"/>
          <w:sz w:val="32"/>
          <w:u w:val="none"/>
        </w:rPr>
        <w:t>2026</w:t>
      </w:r>
      <w:r>
        <w:rPr>
          <w:rFonts w:ascii="宋体" w:hAnsi="宋体" w:hint="eastAsia"/>
          <w:b/>
          <w:color w:val="000000"/>
          <w:sz w:val="32"/>
          <w:szCs w:val="32"/>
          <w:shd w:val="clear" w:color="auto" w:fill="FFFFFF"/>
        </w:rPr>
        <w:t>年</w:t>
      </w:r>
      <w:r>
        <w:rPr>
          <w:rFonts w:ascii="宋体" w:eastAsia="宋体" w:hAnsi="宋体" w:cs="宋体"/>
          <w:b/>
          <w:i w:val="0"/>
          <w:color w:val="000000"/>
          <w:position w:val="-1"/>
          <w:sz w:val="32"/>
          <w:u w:val="none"/>
        </w:rPr>
        <w:t>第1季度</w:t>
      </w:r>
      <w:r>
        <w:rPr>
          <w:rFonts w:ascii="宋体" w:hAnsi="宋体" w:hint="eastAsia"/>
          <w:b/>
          <w:color w:val="000000"/>
          <w:sz w:val="32"/>
          <w:szCs w:val="32"/>
          <w:shd w:val="clear" w:color="auto" w:fill="FFFFFF"/>
        </w:rPr>
        <w:t>报告</w:t>
      </w:r>
    </w:p>
    <w:p w:rsidR="00C873CF">
      <w:pPr>
        <w:jc w:val="center"/>
        <w:rPr>
          <w:rFonts w:ascii="宋体" w:hAnsi="宋体"/>
          <w:b/>
          <w:sz w:val="32"/>
          <w:szCs w:val="32"/>
          <w:shd w:val="clear" w:color="auto" w:fill="FFFFFF"/>
        </w:rPr>
      </w:pPr>
      <w:r>
        <w:rPr>
          <w:rFonts w:ascii="宋体" w:hAnsi="宋体" w:hint="eastAsia"/>
          <w:b/>
          <w:sz w:val="32"/>
          <w:szCs w:val="32"/>
          <w:shd w:val="clear" w:color="auto" w:fill="FFFFFF"/>
        </w:rPr>
        <w:t>（产品</w:t>
      </w:r>
      <w:r>
        <w:rPr>
          <w:rFonts w:ascii="宋体" w:hAnsi="宋体"/>
          <w:b/>
          <w:sz w:val="32"/>
          <w:szCs w:val="32"/>
          <w:shd w:val="clear" w:color="auto" w:fill="FFFFFF"/>
        </w:rPr>
        <w:t>代码：</w:t>
      </w:r>
      <w:r>
        <w:rPr>
          <w:rFonts w:ascii="宋体" w:eastAsia="宋体" w:hAnsi="宋体" w:cs="宋体"/>
          <w:b/>
          <w:i w:val="0"/>
          <w:color w:val="000000"/>
          <w:position w:val="-1"/>
          <w:sz w:val="32"/>
          <w:u w:val="none"/>
        </w:rPr>
        <w:t>111411</w:t>
      </w:r>
      <w:r>
        <w:rPr>
          <w:rFonts w:ascii="宋体" w:hAnsi="宋体" w:hint="eastAsia"/>
          <w:b/>
          <w:sz w:val="32"/>
          <w:szCs w:val="32"/>
          <w:shd w:val="clear" w:color="auto" w:fill="FFFFFF"/>
        </w:rPr>
        <w:t>）</w:t>
      </w:r>
    </w:p>
    <w:p w:rsidR="00C873CF">
      <w:pPr>
        <w:jc w:val="center"/>
        <w:rPr>
          <w:rFonts w:ascii="宋体" w:hAnsi="宋体"/>
          <w:b/>
          <w:sz w:val="32"/>
          <w:szCs w:val="32"/>
          <w:shd w:val="clear" w:color="auto" w:fill="FFFFFF"/>
        </w:rPr>
      </w:pPr>
    </w:p>
    <w:p w:rsidR="00C873CF">
      <w:pPr>
        <w:jc w:val="center"/>
        <w:rPr>
          <w:rFonts w:ascii="宋体" w:hAnsi="宋体"/>
          <w:sz w:val="24"/>
          <w:shd w:val="clear" w:color="auto" w:fill="FFFFFF"/>
        </w:rPr>
      </w:pPr>
    </w:p>
    <w:p w:rsidR="00C873CF">
      <w:pPr>
        <w:jc w:val="center"/>
        <w:rPr>
          <w:rFonts w:ascii="宋体" w:hAnsi="宋体"/>
          <w:sz w:val="24"/>
          <w:shd w:val="clear" w:color="auto" w:fill="FFFFFF"/>
        </w:rPr>
      </w:pPr>
    </w:p>
    <w:p w:rsidR="00C873CF">
      <w:pPr>
        <w:jc w:val="center"/>
        <w:rPr>
          <w:rFonts w:ascii="宋体" w:hAnsi="宋体"/>
          <w:sz w:val="24"/>
          <w:shd w:val="clear" w:color="auto" w:fill="FFFFFF"/>
        </w:rPr>
      </w:pPr>
    </w:p>
    <w:p w:rsidR="00C873CF">
      <w:pPr>
        <w:jc w:val="center"/>
        <w:rPr>
          <w:rFonts w:ascii="宋体" w:hAnsi="宋体"/>
          <w:sz w:val="24"/>
          <w:shd w:val="clear" w:color="auto" w:fill="FFFFFF"/>
        </w:rPr>
      </w:pPr>
    </w:p>
    <w:p w:rsidR="00C873CF">
      <w:pPr>
        <w:jc w:val="center"/>
        <w:rPr>
          <w:rFonts w:ascii="宋体" w:hAnsi="宋体"/>
          <w:sz w:val="24"/>
          <w:shd w:val="clear" w:color="auto" w:fill="FFFFFF"/>
        </w:rPr>
      </w:pPr>
    </w:p>
    <w:p w:rsidR="00C873CF">
      <w:pPr>
        <w:jc w:val="center"/>
        <w:rPr>
          <w:rFonts w:ascii="宋体" w:hAnsi="宋体"/>
          <w:sz w:val="24"/>
          <w:shd w:val="clear" w:color="auto" w:fill="FFFFFF"/>
        </w:rPr>
      </w:pPr>
    </w:p>
    <w:p w:rsidR="00C873CF">
      <w:pPr>
        <w:jc w:val="center"/>
        <w:rPr>
          <w:rFonts w:ascii="宋体" w:hAnsi="宋体"/>
          <w:sz w:val="24"/>
          <w:shd w:val="clear" w:color="auto" w:fill="FFFFFF"/>
        </w:rPr>
      </w:pPr>
    </w:p>
    <w:p w:rsidR="00C873CF">
      <w:pPr>
        <w:jc w:val="center"/>
        <w:rPr>
          <w:rFonts w:ascii="宋体" w:hAnsi="宋体"/>
          <w:sz w:val="24"/>
          <w:shd w:val="clear" w:color="auto" w:fill="FFFFFF"/>
        </w:rPr>
      </w:pPr>
    </w:p>
    <w:p w:rsidR="00C873CF">
      <w:pPr>
        <w:jc w:val="center"/>
        <w:rPr>
          <w:rFonts w:ascii="宋体" w:hAnsi="宋体"/>
          <w:sz w:val="24"/>
          <w:shd w:val="clear" w:color="auto" w:fill="FFFFFF"/>
        </w:rPr>
      </w:pPr>
    </w:p>
    <w:p w:rsidR="00C873CF">
      <w:pPr>
        <w:jc w:val="center"/>
        <w:rPr>
          <w:rFonts w:ascii="宋体" w:hAnsi="宋体"/>
          <w:sz w:val="24"/>
          <w:shd w:val="clear" w:color="auto" w:fill="FFFFFF"/>
        </w:rPr>
      </w:pPr>
    </w:p>
    <w:p w:rsidR="00C873CF">
      <w:pPr>
        <w:jc w:val="center"/>
        <w:rPr>
          <w:rFonts w:ascii="宋体" w:hAnsi="宋体"/>
          <w:sz w:val="24"/>
          <w:shd w:val="clear" w:color="auto" w:fill="FFFFFF"/>
        </w:rPr>
      </w:pPr>
    </w:p>
    <w:p w:rsidR="00C873CF">
      <w:pPr>
        <w:jc w:val="center"/>
        <w:rPr>
          <w:rFonts w:ascii="宋体" w:hAnsi="宋体"/>
          <w:sz w:val="24"/>
          <w:shd w:val="clear" w:color="auto" w:fill="FFFFFF"/>
        </w:rPr>
      </w:pPr>
    </w:p>
    <w:p w:rsidR="00C873CF">
      <w:pPr>
        <w:jc w:val="center"/>
        <w:rPr>
          <w:rFonts w:ascii="宋体" w:hAnsi="宋体"/>
          <w:sz w:val="24"/>
          <w:shd w:val="clear" w:color="auto" w:fill="FFFFFF"/>
        </w:rPr>
      </w:pPr>
    </w:p>
    <w:p w:rsidR="00C873CF">
      <w:pPr>
        <w:jc w:val="center"/>
        <w:rPr>
          <w:rFonts w:ascii="宋体" w:hAnsi="宋体"/>
          <w:sz w:val="24"/>
          <w:shd w:val="clear" w:color="auto" w:fill="FFFFFF"/>
        </w:rPr>
      </w:pPr>
    </w:p>
    <w:p w:rsidR="00C873CF">
      <w:pPr>
        <w:jc w:val="center"/>
        <w:rPr>
          <w:rFonts w:ascii="宋体" w:hAnsi="宋体"/>
          <w:sz w:val="24"/>
          <w:shd w:val="clear" w:color="auto" w:fill="FFFFFF"/>
        </w:rPr>
      </w:pPr>
    </w:p>
    <w:p w:rsidR="00C873CF">
      <w:pPr>
        <w:jc w:val="center"/>
        <w:rPr>
          <w:rFonts w:ascii="宋体" w:hAnsi="宋体"/>
          <w:sz w:val="24"/>
          <w:shd w:val="clear" w:color="auto" w:fill="FFFFFF"/>
        </w:rPr>
      </w:pPr>
    </w:p>
    <w:p w:rsidR="00C873CF">
      <w:pPr>
        <w:jc w:val="center"/>
        <w:rPr>
          <w:rFonts w:ascii="宋体" w:hAnsi="宋体"/>
          <w:sz w:val="24"/>
          <w:shd w:val="clear" w:color="auto" w:fill="FFFFFF"/>
        </w:rPr>
      </w:pPr>
    </w:p>
    <w:p w:rsidR="00C873CF">
      <w:pPr>
        <w:jc w:val="center"/>
        <w:rPr>
          <w:rFonts w:ascii="宋体" w:hAnsi="宋体"/>
          <w:sz w:val="24"/>
          <w:shd w:val="clear" w:color="auto" w:fill="FFFFFF"/>
        </w:rPr>
      </w:pPr>
    </w:p>
    <w:p w:rsidR="00C873CF">
      <w:pPr>
        <w:jc w:val="center"/>
        <w:rPr>
          <w:rFonts w:ascii="宋体" w:hAnsi="宋体"/>
          <w:sz w:val="24"/>
          <w:shd w:val="clear" w:color="auto" w:fill="FFFFFF"/>
        </w:rPr>
      </w:pPr>
    </w:p>
    <w:p w:rsidR="00C873CF">
      <w:pPr>
        <w:spacing w:line="360" w:lineRule="auto"/>
        <w:ind w:firstLine="1890" w:firstLineChars="900"/>
        <w:rPr>
          <w:rFonts w:ascii="宋体" w:hAnsi="宋体"/>
          <w:sz w:val="24"/>
          <w:shd w:val="clear" w:color="auto" w:fill="FFFFFF"/>
        </w:rPr>
      </w:pPr>
      <w:r>
        <w:rPr>
          <w:rFonts w:ascii="宋体" w:eastAsia="宋体" w:hAnsi="宋体" w:cs="宋体"/>
          <w:b w:val="0"/>
          <w:i w:val="0"/>
          <w:color w:val="000000"/>
          <w:position w:val="-1"/>
          <w:sz w:val="24"/>
          <w:u w:val="none"/>
        </w:rPr>
        <w:t>理财产品管理人：招银理财有限责任公司</w:t>
      </w:r>
    </w:p>
    <w:p w:rsidR="00C873CF">
      <w:pPr>
        <w:spacing w:line="360" w:lineRule="auto"/>
        <w:ind w:firstLine="1890" w:firstLineChars="900"/>
        <w:rPr>
          <w:rFonts w:ascii="宋体" w:hAnsi="宋体"/>
          <w:sz w:val="24"/>
          <w:shd w:val="clear" w:color="auto" w:fill="FFFFFF"/>
        </w:rPr>
      </w:pPr>
      <w:r>
        <w:rPr>
          <w:rFonts w:ascii="宋体" w:eastAsia="宋体" w:hAnsi="宋体" w:cs="宋体"/>
          <w:b w:val="0"/>
          <w:i w:val="0"/>
          <w:color w:val="000000"/>
          <w:position w:val="-1"/>
          <w:sz w:val="24"/>
          <w:u w:val="none"/>
        </w:rPr>
        <w:t>理财产品托管人：招商银行股份有限公司</w:t>
      </w:r>
    </w:p>
    <w:p w:rsidR="00C873CF">
      <w:pPr>
        <w:spacing w:line="360" w:lineRule="auto"/>
        <w:ind w:firstLine="1890" w:firstLineChars="900"/>
        <w:rPr>
          <w:rFonts w:ascii="宋体" w:hAnsi="宋体"/>
          <w:sz w:val="24"/>
          <w:shd w:val="clear" w:color="auto" w:fill="FFFFFF"/>
        </w:rPr>
      </w:pPr>
      <w:r>
        <w:rPr>
          <w:rFonts w:ascii="宋体" w:hAnsi="宋体" w:hint="eastAsia"/>
          <w:sz w:val="24"/>
          <w:shd w:val="clear" w:color="auto" w:fill="FFFFFF"/>
        </w:rPr>
        <w:t xml:space="preserve"> </w:t>
      </w:r>
    </w:p>
    <w:p w:rsidR="00C873CF">
      <w:pPr>
        <w:jc w:val="center"/>
        <w:rPr>
          <w:rFonts w:ascii="宋体" w:hAnsi="宋体"/>
          <w:b/>
          <w:sz w:val="32"/>
          <w:szCs w:val="32"/>
          <w:shd w:val="clear" w:color="auto" w:fill="FFFFFF"/>
        </w:rPr>
      </w:pPr>
    </w:p>
    <w:p w:rsidR="00C873CF">
      <w:pPr>
        <w:jc w:val="center"/>
        <w:rPr>
          <w:rFonts w:ascii="宋体" w:hAnsi="宋体"/>
          <w:b/>
          <w:sz w:val="32"/>
          <w:szCs w:val="32"/>
          <w:shd w:val="clear" w:color="auto" w:fill="FFFFFF"/>
        </w:rPr>
      </w:pPr>
    </w:p>
    <w:p w:rsidR="00C873CF">
      <w:pPr>
        <w:jc w:val="center"/>
        <w:rPr>
          <w:rFonts w:ascii="宋体" w:hAnsi="宋体"/>
          <w:b/>
          <w:sz w:val="32"/>
          <w:szCs w:val="32"/>
          <w:shd w:val="clear" w:color="auto" w:fill="FFFFFF"/>
        </w:rPr>
      </w:pPr>
    </w:p>
    <w:p w:rsidR="00C873CF">
      <w:pPr>
        <w:rPr>
          <w:rFonts w:ascii="宋体" w:hAnsi="宋体"/>
          <w:b/>
          <w:sz w:val="32"/>
          <w:szCs w:val="32"/>
          <w:shd w:val="clear" w:color="auto" w:fill="FFFFFF"/>
        </w:rPr>
      </w:pPr>
    </w:p>
    <w:p w:rsidR="00C873CF">
      <w:pPr>
        <w:jc w:val="center"/>
        <w:rPr>
          <w:rFonts w:ascii="宋体" w:hAnsi="宋体"/>
          <w:b/>
          <w:sz w:val="30"/>
          <w:shd w:val="clear" w:color="auto" w:fill="FFFFFF"/>
        </w:rPr>
      </w:pPr>
      <w:r>
        <w:rPr>
          <w:rFonts w:ascii="宋体" w:hAnsi="宋体" w:hint="eastAsia"/>
          <w:b/>
          <w:sz w:val="30"/>
          <w:shd w:val="clear" w:color="auto" w:fill="FFFFFF"/>
        </w:rPr>
        <w:t>目    录</w:t>
      </w:r>
    </w:p>
    <w:p w:rsidR="00C873CF">
      <w:pPr>
        <w:jc w:val="center"/>
        <w:rPr>
          <w:rFonts w:ascii="宋体" w:hAnsi="宋体"/>
          <w:b/>
          <w:sz w:val="30"/>
          <w:shd w:val="clear" w:color="auto" w:fill="FFFFFF"/>
        </w:rPr>
      </w:pPr>
    </w:p>
    <w:p>
      <w:pPr>
        <w:pStyle w:val="TOC1"/>
        <w:tabs>
          <w:tab w:val="right" w:leader="dot" w:pos="9060"/>
        </w:tabs>
        <w:rPr>
          <w:rFonts w:asciiTheme="minorHAnsi" w:hAnsiTheme="minorHAnsi"/>
          <w:noProof/>
          <w:sz w:val="22"/>
        </w:rPr>
      </w:pPr>
      <w:r>
        <w:fldChar w:fldCharType="begin"/>
      </w:r>
      <w:r>
        <w:instrText>TOC \o "1-2" \h \z \u</w:instrText>
      </w:r>
      <w:r>
        <w:fldChar w:fldCharType="separate"/>
      </w:r>
      <w:r>
        <w:fldChar w:fldCharType="begin"/>
      </w:r>
      <w:r>
        <w:rPr>
          <w:rStyle w:val="Hyperlink"/>
        </w:rPr>
        <w:instrText xml:space="preserve"> HYPERLINK \l "_Toc256000000" </w:instrText>
      </w:r>
      <w:r>
        <w:fldChar w:fldCharType="separate"/>
      </w:r>
      <w:r w:rsidRPr="00267A1B">
        <w:rPr>
          <w:rStyle w:val="Hyperlink"/>
          <w:rFonts w:ascii="宋体" w:hAnsi="宋体" w:hint="eastAsia"/>
          <w:shd w:val="clear" w:color="auto" w:fill="FFFFFF"/>
          <w:lang w:val="en-US"/>
        </w:rPr>
        <w:t xml:space="preserve">§1 </w:t>
      </w:r>
      <w:r>
        <w:rPr>
          <w:rStyle w:val="Hyperlink"/>
          <w:rFonts w:ascii="宋体" w:hAnsi="宋体" w:hint="eastAsia"/>
          <w:shd w:val="clear" w:color="auto" w:fill="FFFFFF"/>
        </w:rPr>
        <w:t>重要提示</w:t>
      </w:r>
      <w:r>
        <w:rPr>
          <w:rStyle w:val="Hyperlink"/>
        </w:rPr>
        <w:tab/>
      </w:r>
      <w:r>
        <w:fldChar w:fldCharType="begin"/>
      </w:r>
      <w:r>
        <w:rPr>
          <w:rStyle w:val="Hyperlink"/>
        </w:rPr>
        <w:instrText xml:space="preserve"> PAGEREF _Toc256000000 \h </w:instrText>
      </w:r>
      <w:r>
        <w:fldChar w:fldCharType="separate"/>
      </w:r>
      <w:r>
        <w:rPr>
          <w:rStyle w:val="Hyperlink"/>
        </w:rPr>
        <w:t>3</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"_Toc256000001" </w:instrText>
      </w:r>
      <w:r>
        <w:fldChar w:fldCharType="separate"/>
      </w:r>
      <w:r>
        <w:rPr>
          <w:rStyle w:val="Hyperlink"/>
          <w:rFonts w:hint="eastAsia"/>
          <w:shd w:val="clear" w:color="auto" w:fill="FFFFFF"/>
        </w:rPr>
        <w:t>1.1 重要提示</w:t>
      </w:r>
      <w:r>
        <w:rPr>
          <w:rStyle w:val="Hyperlink"/>
        </w:rPr>
        <w:tab/>
      </w:r>
      <w:r>
        <w:fldChar w:fldCharType="begin"/>
      </w:r>
      <w:r>
        <w:rPr>
          <w:rStyle w:val="Hyperlink"/>
        </w:rPr>
        <w:instrText xml:space="preserve"> PAGEREF _Toc256000001 \h </w:instrText>
      </w:r>
      <w:r>
        <w:fldChar w:fldCharType="separate"/>
      </w:r>
      <w:r>
        <w:rPr>
          <w:rStyle w:val="Hyperlink"/>
        </w:rPr>
        <w:t>3</w:t>
      </w:r>
      <w:r>
        <w:fldChar w:fldCharType="end"/>
      </w:r>
      <w:r>
        <w:fldChar w:fldCharType="end"/>
      </w:r>
    </w:p>
    <w:p>
      <w:pPr>
        <w:pStyle w:val="TOC1"/>
        <w:tabs>
          <w:tab w:val="right" w:leader="dot" w:pos="9060"/>
        </w:tabs>
        <w:rPr>
          <w:rFonts w:asciiTheme="minorHAnsi" w:hAnsiTheme="minorHAnsi"/>
          <w:noProof/>
          <w:sz w:val="22"/>
        </w:rPr>
      </w:pPr>
      <w:r>
        <w:fldChar w:fldCharType="begin"/>
      </w:r>
      <w:r>
        <w:rPr>
          <w:rStyle w:val="Hyperlink"/>
        </w:rPr>
        <w:instrText xml:space="preserve"> HYPERLINK \l "_Toc256000002" </w:instrText>
      </w:r>
      <w:r>
        <w:fldChar w:fldCharType="separate"/>
      </w:r>
      <w:r>
        <w:rPr>
          <w:rStyle w:val="Hyperlink"/>
          <w:rFonts w:ascii="宋体" w:hAnsi="宋体" w:hint="eastAsia"/>
          <w:shd w:val="clear" w:color="auto" w:fill="FFFFFF"/>
        </w:rPr>
        <w:t>§2 理财产品简介</w:t>
      </w:r>
      <w:r>
        <w:rPr>
          <w:rStyle w:val="Hyperlink"/>
        </w:rPr>
        <w:tab/>
      </w:r>
      <w:r>
        <w:fldChar w:fldCharType="begin"/>
      </w:r>
      <w:r>
        <w:rPr>
          <w:rStyle w:val="Hyperlink"/>
        </w:rPr>
        <w:instrText xml:space="preserve"> PAGEREF _Toc256000002 \h </w:instrText>
      </w:r>
      <w:r>
        <w:fldChar w:fldCharType="separate"/>
      </w:r>
      <w:r>
        <w:rPr>
          <w:rStyle w:val="Hyperlink"/>
        </w:rPr>
        <w:t>3</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"_Toc256000003" </w:instrText>
      </w:r>
      <w:r>
        <w:fldChar w:fldCharType="separate"/>
      </w:r>
      <w:r>
        <w:rPr>
          <w:rStyle w:val="Hyperlink"/>
          <w:rFonts w:hint="eastAsia"/>
          <w:shd w:val="clear" w:color="auto" w:fill="FFFFFF"/>
        </w:rPr>
        <w:t>2.1 理财产品基本情况</w:t>
      </w:r>
      <w:r>
        <w:rPr>
          <w:rStyle w:val="Hyperlink"/>
        </w:rPr>
        <w:tab/>
      </w:r>
      <w:r>
        <w:fldChar w:fldCharType="begin"/>
      </w:r>
      <w:r>
        <w:rPr>
          <w:rStyle w:val="Hyperlink"/>
        </w:rPr>
        <w:instrText xml:space="preserve"> PAGEREF _Toc256000003 \h </w:instrText>
      </w:r>
      <w:r>
        <w:fldChar w:fldCharType="separate"/>
      </w:r>
      <w:r>
        <w:rPr>
          <w:rStyle w:val="Hyperlink"/>
        </w:rPr>
        <w:t>3</w:t>
      </w:r>
      <w:r>
        <w:fldChar w:fldCharType="end"/>
      </w:r>
      <w:r>
        <w:fldChar w:fldCharType="end"/>
      </w:r>
    </w:p>
    <w:p>
      <w:pPr>
        <w:pStyle w:val="TOC1"/>
        <w:tabs>
          <w:tab w:val="right" w:leader="dot" w:pos="9060"/>
        </w:tabs>
        <w:rPr>
          <w:rFonts w:asciiTheme="minorHAnsi" w:hAnsiTheme="minorHAnsi"/>
          <w:noProof/>
          <w:sz w:val="22"/>
        </w:rPr>
      </w:pPr>
      <w:r>
        <w:fldChar w:fldCharType="begin"/>
      </w:r>
      <w:r>
        <w:rPr>
          <w:rStyle w:val="Hyperlink"/>
        </w:rPr>
        <w:instrText xml:space="preserve"> HYPERLINK \l "_Toc256000005" </w:instrText>
      </w:r>
      <w:r>
        <w:fldChar w:fldCharType="separate"/>
      </w:r>
      <w:r>
        <w:rPr>
          <w:rStyle w:val="Hyperlink"/>
          <w:rFonts w:ascii="宋体" w:hAnsi="宋体" w:hint="eastAsia"/>
          <w:shd w:val="clear" w:color="auto" w:fill="FFFFFF"/>
        </w:rPr>
        <w:t>§3 理财产品净值表现</w:t>
      </w:r>
      <w:r>
        <w:rPr>
          <w:rStyle w:val="Hyperlink"/>
        </w:rPr>
        <w:tab/>
      </w:r>
      <w:r>
        <w:fldChar w:fldCharType="begin"/>
      </w:r>
      <w:r>
        <w:rPr>
          <w:rStyle w:val="Hyperlink"/>
        </w:rPr>
        <w:instrText xml:space="preserve"> PAGEREF _Toc256000005 \h </w:instrText>
      </w:r>
      <w:r>
        <w:fldChar w:fldCharType="separate"/>
      </w:r>
      <w:r>
        <w:rPr>
          <w:rStyle w:val="Hyperlink"/>
        </w:rPr>
        <w:t>4</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"_Toc256000006" </w:instrText>
      </w:r>
      <w:r>
        <w:fldChar w:fldCharType="separate"/>
      </w:r>
      <w:r>
        <w:rPr>
          <w:rStyle w:val="Hyperlink"/>
          <w:rFonts w:hint="eastAsia"/>
          <w:shd w:val="clear" w:color="auto" w:fill="FFFFFF"/>
        </w:rPr>
        <w:t>3.1 截至报告期末产品资产净值及份额净值</w:t>
      </w:r>
      <w:r>
        <w:rPr>
          <w:rStyle w:val="Hyperlink"/>
        </w:rPr>
        <w:tab/>
      </w:r>
      <w:r>
        <w:fldChar w:fldCharType="begin"/>
      </w:r>
      <w:r>
        <w:rPr>
          <w:rStyle w:val="Hyperlink"/>
        </w:rPr>
        <w:instrText xml:space="preserve"> PAGEREF _Toc256000006 \h </w:instrText>
      </w:r>
      <w:r>
        <w:fldChar w:fldCharType="separate"/>
      </w:r>
      <w:r>
        <w:rPr>
          <w:rStyle w:val="Hyperlink"/>
        </w:rPr>
        <w:t>4</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"_Toc256000007" </w:instrText>
      </w:r>
      <w:r>
        <w:fldChar w:fldCharType="separate"/>
      </w:r>
      <w:r>
        <w:rPr>
          <w:rStyle w:val="Hyperlink"/>
          <w:rFonts w:hint="eastAsia"/>
          <w:shd w:val="clear" w:color="auto" w:fill="FFFFFF"/>
        </w:rPr>
        <w:t>3.2 理财产品年化收益率</w:t>
      </w:r>
      <w:r>
        <w:rPr>
          <w:rStyle w:val="Hyperlink"/>
        </w:rPr>
        <w:tab/>
      </w:r>
      <w:r>
        <w:fldChar w:fldCharType="begin"/>
      </w:r>
      <w:r>
        <w:rPr>
          <w:rStyle w:val="Hyperlink"/>
        </w:rPr>
        <w:instrText xml:space="preserve"> PAGEREF _Toc256000007 \h </w:instrText>
      </w:r>
      <w:r>
        <w:fldChar w:fldCharType="separate"/>
      </w:r>
      <w:r>
        <w:rPr>
          <w:rStyle w:val="Hyperlink"/>
        </w:rPr>
        <w:t>4</w:t>
      </w:r>
      <w:r>
        <w:fldChar w:fldCharType="end"/>
      </w:r>
      <w:r>
        <w:fldChar w:fldCharType="end"/>
      </w:r>
    </w:p>
    <w:p>
      <w:pPr>
        <w:pStyle w:val="TOC1"/>
        <w:tabs>
          <w:tab w:val="right" w:leader="dot" w:pos="9060"/>
        </w:tabs>
        <w:rPr>
          <w:rFonts w:asciiTheme="minorHAnsi" w:hAnsiTheme="minorHAnsi"/>
          <w:noProof/>
          <w:sz w:val="22"/>
        </w:rPr>
      </w:pPr>
      <w:r>
        <w:fldChar w:fldCharType="begin"/>
      </w:r>
      <w:r>
        <w:rPr>
          <w:rStyle w:val="Hyperlink"/>
        </w:rPr>
        <w:instrText xml:space="preserve"> HYPERLINK \l "_Toc256000008" </w:instrText>
      </w:r>
      <w:r>
        <w:fldChar w:fldCharType="separate"/>
      </w:r>
      <w:r>
        <w:rPr>
          <w:rStyle w:val="Hyperlink"/>
          <w:rFonts w:ascii="宋体" w:hAnsi="宋体" w:hint="eastAsia"/>
          <w:shd w:val="clear" w:color="auto" w:fill="FFFFFF"/>
        </w:rPr>
        <w:t>§4 管理人报告</w:t>
      </w:r>
      <w:r>
        <w:rPr>
          <w:rStyle w:val="Hyperlink"/>
        </w:rPr>
        <w:tab/>
      </w:r>
      <w:r>
        <w:fldChar w:fldCharType="begin"/>
      </w:r>
      <w:r>
        <w:rPr>
          <w:rStyle w:val="Hyperlink"/>
        </w:rPr>
        <w:instrText xml:space="preserve"> PAGEREF _Toc256000008 \h </w:instrText>
      </w:r>
      <w:r>
        <w:fldChar w:fldCharType="separate"/>
      </w:r>
      <w:r>
        <w:rPr>
          <w:rStyle w:val="Hyperlink"/>
        </w:rPr>
        <w:t>5</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"_Toc256000009" </w:instrText>
      </w:r>
      <w:r>
        <w:fldChar w:fldCharType="separate"/>
      </w:r>
      <w:r>
        <w:rPr>
          <w:rStyle w:val="Hyperlink"/>
          <w:rFonts w:hint="eastAsia"/>
          <w:shd w:val="clear" w:color="auto" w:fill="FFFFFF"/>
        </w:rPr>
        <w:t>4.1 管理人对报告期内理财产品的投资策略说明</w:t>
      </w:r>
      <w:r>
        <w:rPr>
          <w:rStyle w:val="Hyperlink"/>
        </w:rPr>
        <w:tab/>
      </w:r>
      <w:r>
        <w:fldChar w:fldCharType="begin"/>
      </w:r>
      <w:r>
        <w:rPr>
          <w:rStyle w:val="Hyperlink"/>
        </w:rPr>
        <w:instrText xml:space="preserve"> PAGEREF _Toc256000009 \h </w:instrText>
      </w:r>
      <w:r>
        <w:fldChar w:fldCharType="separate"/>
      </w:r>
      <w:r>
        <w:rPr>
          <w:rStyle w:val="Hyperlink"/>
        </w:rPr>
        <w:t>5</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"_Toc256000010" </w:instrText>
      </w:r>
      <w:r>
        <w:fldChar w:fldCharType="separate"/>
      </w:r>
      <w:r>
        <w:rPr>
          <w:rStyle w:val="Hyperlink"/>
          <w:rFonts w:hint="eastAsia"/>
          <w:shd w:val="clear" w:color="auto" w:fill="FFFFFF"/>
        </w:rPr>
        <w:t>4.2 理财产品报告期内关联交易发生情况</w:t>
      </w:r>
      <w:r>
        <w:rPr>
          <w:rStyle w:val="Hyperlink"/>
        </w:rPr>
        <w:tab/>
      </w:r>
      <w:r>
        <w:fldChar w:fldCharType="begin"/>
      </w:r>
      <w:r>
        <w:rPr>
          <w:rStyle w:val="Hyperlink"/>
        </w:rPr>
        <w:instrText xml:space="preserve"> PAGEREF _Toc256000010 \h </w:instrText>
      </w:r>
      <w:r>
        <w:fldChar w:fldCharType="separate"/>
      </w:r>
      <w:r>
        <w:rPr>
          <w:rStyle w:val="Hyperlink"/>
        </w:rPr>
        <w:t>6</w:t>
      </w:r>
      <w:r>
        <w:fldChar w:fldCharType="end"/>
      </w:r>
      <w:r>
        <w:fldChar w:fldCharType="end"/>
      </w:r>
    </w:p>
    <w:p>
      <w:pPr>
        <w:pStyle w:val="TOC1"/>
        <w:tabs>
          <w:tab w:val="right" w:leader="dot" w:pos="9060"/>
        </w:tabs>
        <w:rPr>
          <w:rFonts w:asciiTheme="minorHAnsi" w:hAnsiTheme="minorHAnsi"/>
          <w:noProof/>
          <w:sz w:val="22"/>
        </w:rPr>
      </w:pPr>
      <w:r>
        <w:fldChar w:fldCharType="begin"/>
      </w:r>
      <w:r>
        <w:rPr>
          <w:rStyle w:val="Hyperlink"/>
        </w:rPr>
        <w:instrText xml:space="preserve"> HYPERLINK \l "_Toc256000011" </w:instrText>
      </w:r>
      <w:r>
        <w:fldChar w:fldCharType="separate"/>
      </w:r>
      <w:r>
        <w:rPr>
          <w:rStyle w:val="Hyperlink"/>
          <w:rFonts w:ascii="宋体" w:hAnsi="宋体" w:hint="eastAsia"/>
          <w:shd w:val="clear" w:color="auto" w:fill="FFFFFF"/>
        </w:rPr>
        <w:t>§</w:t>
      </w:r>
      <w:r>
        <w:rPr>
          <w:rStyle w:val="Hyperlink"/>
          <w:rFonts w:ascii="宋体" w:hAnsi="宋体"/>
          <w:shd w:val="clear" w:color="auto" w:fill="FFFFFF"/>
        </w:rPr>
        <w:t>5</w:t>
      </w:r>
      <w:r>
        <w:rPr>
          <w:rStyle w:val="Hyperlink"/>
          <w:rFonts w:ascii="宋体" w:hAnsi="宋体" w:hint="eastAsia"/>
          <w:shd w:val="clear" w:color="auto" w:fill="FFFFFF"/>
        </w:rPr>
        <w:t xml:space="preserve"> 投资组合报告</w:t>
      </w:r>
      <w:r>
        <w:rPr>
          <w:rStyle w:val="Hyperlink"/>
        </w:rPr>
        <w:tab/>
      </w:r>
      <w:r>
        <w:fldChar w:fldCharType="begin"/>
      </w:r>
      <w:r>
        <w:rPr>
          <w:rStyle w:val="Hyperlink"/>
        </w:rPr>
        <w:instrText xml:space="preserve"> PAGEREF _Toc256000011 \h </w:instrText>
      </w:r>
      <w:r>
        <w:fldChar w:fldCharType="separate"/>
      </w:r>
      <w:r>
        <w:rPr>
          <w:rStyle w:val="Hyperlink"/>
        </w:rPr>
        <w:t>6</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"_Toc256000012" </w:instrText>
      </w:r>
      <w:r>
        <w:fldChar w:fldCharType="separate"/>
      </w:r>
      <w:r>
        <w:rPr>
          <w:rStyle w:val="Hyperlink"/>
          <w:position w:val="-1"/>
        </w:rPr>
        <w:t>5.1 期末理财产品资产组合情况</w:t>
      </w:r>
      <w:r>
        <w:rPr>
          <w:rStyle w:val="Hyperlink"/>
        </w:rPr>
        <w:tab/>
      </w:r>
      <w:r>
        <w:fldChar w:fldCharType="begin"/>
      </w:r>
      <w:r>
        <w:rPr>
          <w:rStyle w:val="Hyperlink"/>
        </w:rPr>
        <w:instrText xml:space="preserve"> PAGEREF _Toc256000012 \h </w:instrText>
      </w:r>
      <w:r>
        <w:fldChar w:fldCharType="separate"/>
      </w:r>
      <w:r>
        <w:rPr>
          <w:rStyle w:val="Hyperlink"/>
        </w:rPr>
        <w:t>6</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"_Toc256000013" </w:instrText>
      </w:r>
      <w:r>
        <w:fldChar w:fldCharType="separate"/>
      </w:r>
      <w:r>
        <w:rPr>
          <w:rStyle w:val="Hyperlink"/>
          <w:position w:val="-1"/>
        </w:rPr>
        <w:t>5.2 期末投资组合前十项资产</w:t>
      </w:r>
      <w:r>
        <w:rPr>
          <w:rStyle w:val="Hyperlink"/>
        </w:rPr>
        <w:tab/>
      </w:r>
      <w:r>
        <w:fldChar w:fldCharType="begin"/>
      </w:r>
      <w:r>
        <w:rPr>
          <w:rStyle w:val="Hyperlink"/>
        </w:rPr>
        <w:instrText xml:space="preserve"> PAGEREF _Toc256000013 \h </w:instrText>
      </w:r>
      <w:r>
        <w:fldChar w:fldCharType="separate"/>
      </w:r>
      <w:r>
        <w:rPr>
          <w:rStyle w:val="Hyperlink"/>
        </w:rPr>
        <w:t>7</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"_Toc256000014" </w:instrText>
      </w:r>
      <w:r>
        <w:fldChar w:fldCharType="separate"/>
      </w:r>
      <w:r>
        <w:rPr>
          <w:rStyle w:val="Hyperlink"/>
          <w:position w:val="-1"/>
        </w:rPr>
        <w:t>5.3 报告期末非标准化债权类资产信息</w:t>
      </w:r>
      <w:r>
        <w:rPr>
          <w:rStyle w:val="Hyperlink"/>
        </w:rPr>
        <w:tab/>
      </w:r>
      <w:r>
        <w:fldChar w:fldCharType="begin"/>
      </w:r>
      <w:r>
        <w:rPr>
          <w:rStyle w:val="Hyperlink"/>
        </w:rPr>
        <w:instrText xml:space="preserve"> PAGEREF _Toc256000014 \h </w:instrText>
      </w:r>
      <w:r>
        <w:fldChar w:fldCharType="separate"/>
      </w:r>
      <w:r>
        <w:rPr>
          <w:rStyle w:val="Hyperlink"/>
        </w:rPr>
        <w:t>8</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"_Toc256000015" </w:instrText>
      </w:r>
      <w:r>
        <w:fldChar w:fldCharType="separate"/>
      </w:r>
      <w:r>
        <w:rPr>
          <w:rStyle w:val="Hyperlink"/>
          <w:position w:val="-1"/>
        </w:rPr>
        <w:t>5.4 报告期内到期的非标准化债权类资产及收益情况</w:t>
      </w:r>
      <w:r>
        <w:rPr>
          <w:rStyle w:val="Hyperlink"/>
        </w:rPr>
        <w:tab/>
      </w:r>
      <w:r>
        <w:fldChar w:fldCharType="begin"/>
      </w:r>
      <w:r>
        <w:rPr>
          <w:rStyle w:val="Hyperlink"/>
        </w:rPr>
        <w:instrText xml:space="preserve"> PAGEREF _Toc256000015 \h </w:instrText>
      </w:r>
      <w:r>
        <w:fldChar w:fldCharType="separate"/>
      </w:r>
      <w:r>
        <w:rPr>
          <w:rStyle w:val="Hyperlink"/>
        </w:rPr>
        <w:t>8</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"_Toc256000016" </w:instrText>
      </w:r>
      <w:r>
        <w:fldChar w:fldCharType="separate"/>
      </w:r>
      <w:r>
        <w:rPr>
          <w:rStyle w:val="Hyperlink"/>
          <w:position w:val="-1"/>
        </w:rPr>
        <w:t>5.5 报告期末信贷资产收受益权资产信息</w:t>
      </w:r>
      <w:r>
        <w:rPr>
          <w:rStyle w:val="Hyperlink"/>
        </w:rPr>
        <w:tab/>
      </w:r>
      <w:r>
        <w:fldChar w:fldCharType="begin"/>
      </w:r>
      <w:r>
        <w:rPr>
          <w:rStyle w:val="Hyperlink"/>
        </w:rPr>
        <w:instrText xml:space="preserve"> PAGEREF _Toc256000016 \h </w:instrText>
      </w:r>
      <w:r>
        <w:fldChar w:fldCharType="separate"/>
      </w:r>
      <w:r>
        <w:rPr>
          <w:rStyle w:val="Hyperlink"/>
        </w:rPr>
        <w:t>9</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"_Toc256000018" </w:instrText>
      </w:r>
      <w:r>
        <w:fldChar w:fldCharType="separate"/>
      </w:r>
      <w:r>
        <w:rPr>
          <w:rStyle w:val="Hyperlink"/>
        </w:rPr>
        <w:t>5.6 报告期末商品及金融衍生品资产信息</w:t>
      </w:r>
      <w:r>
        <w:rPr>
          <w:rStyle w:val="Hyperlink"/>
        </w:rPr>
        <w:tab/>
      </w:r>
      <w:r>
        <w:fldChar w:fldCharType="begin"/>
      </w:r>
      <w:r>
        <w:rPr>
          <w:rStyle w:val="Hyperlink"/>
        </w:rPr>
        <w:instrText xml:space="preserve"> PAGEREF _Toc256000018 \h </w:instrText>
      </w:r>
      <w:r>
        <w:fldChar w:fldCharType="separate"/>
      </w:r>
      <w:r>
        <w:rPr>
          <w:rStyle w:val="Hyperlink"/>
        </w:rPr>
        <w:t>9</w:t>
      </w:r>
      <w:r>
        <w:fldChar w:fldCharType="end"/>
      </w:r>
      <w:r>
        <w:fldChar w:fldCharType="end"/>
      </w:r>
    </w:p>
    <w:p>
      <w:r>
        <w:fldChar w:fldCharType="end"/>
      </w:r>
    </w:p>
    <w:p w:rsidR="00C873CF">
      <w:pPr>
        <w:widowControl/>
        <w:jc w:val="left"/>
        <w:rPr>
          <w:shd w:val="clear" w:color="auto" w:fill="FFFFFF"/>
        </w:rPr>
      </w:pPr>
      <w:r>
        <w:rPr>
          <w:shd w:val="clear" w:color="auto" w:fill="FFFFFF"/>
        </w:rPr>
        <w:br w:type="page"/>
      </w:r>
    </w:p>
    <w:p w:rsidR="00C873CF" w:rsidRPr="00267A1B">
      <w:pPr>
        <w:pStyle w:val="Heading1"/>
        <w:spacing w:line="360" w:lineRule="auto"/>
        <w:jc w:val="center"/>
        <w:rPr>
          <w:rFonts w:ascii="宋体" w:hAnsi="宋体"/>
          <w:sz w:val="24"/>
          <w:szCs w:val="24"/>
          <w:shd w:val="clear" w:color="auto" w:fill="FFFFFF"/>
          <w:lang w:val="en-US"/>
        </w:rPr>
      </w:pPr>
      <w:bookmarkStart w:id="1" w:name="_Toc12382916"/>
      <w:bookmarkStart w:id="2" w:name="_Toc256000000"/>
      <w:r w:rsidRPr="00267A1B">
        <w:rPr>
          <w:rFonts w:ascii="宋体" w:hAnsi="宋体" w:hint="eastAsia"/>
          <w:sz w:val="24"/>
          <w:szCs w:val="24"/>
          <w:shd w:val="clear" w:color="auto" w:fill="FFFFFF"/>
          <w:lang w:val="en-US"/>
        </w:rPr>
        <w:t xml:space="preserve">§1 </w:t>
      </w:r>
      <w:r>
        <w:rPr>
          <w:rFonts w:ascii="宋体" w:hAnsi="宋体" w:hint="eastAsia"/>
          <w:sz w:val="24"/>
          <w:szCs w:val="24"/>
          <w:shd w:val="clear" w:color="auto" w:fill="FFFFFF"/>
        </w:rPr>
        <w:t>重要提示</w:t>
      </w:r>
      <w:bookmarkEnd w:id="2"/>
      <w:bookmarkEnd w:id="1"/>
    </w:p>
    <w:p w:rsidR="00C873CF">
      <w:pPr>
        <w:pStyle w:val="Heading2"/>
        <w:rPr>
          <w:sz w:val="24"/>
          <w:szCs w:val="24"/>
          <w:shd w:val="clear" w:color="auto" w:fill="FFFFFF"/>
        </w:rPr>
      </w:pPr>
      <w:bookmarkStart w:id="3" w:name="_Toc256000001"/>
      <w:r>
        <w:rPr>
          <w:rFonts w:hint="eastAsia"/>
          <w:sz w:val="24"/>
          <w:szCs w:val="24"/>
          <w:shd w:val="clear" w:color="auto" w:fill="FFFFFF"/>
        </w:rPr>
        <w:t>1.1 重要提示</w:t>
      </w:r>
      <w:bookmarkEnd w:id="3"/>
      <w:bookmarkStart w:id="4" w:name="_Toc12382917"/>
      <w:bookmarkEnd w:id="4"/>
    </w:p>
    <w:tbl>
      <w:tblPr>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Look w:val="04A0"/>
      </w:tblPr>
      <w:tblGrid>
        <w:gridCol w:w="8522"/>
      </w:tblGrid>
      <w:tr>
        <w:tblPrEx>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Look w:val="04A0"/>
        </w:tblPrEx>
        <w:trPr>
          <w:trHeight w:val="610"/>
        </w:trPr>
        <w:tc>
          <w:tcPr>
            <w:tcW w:w="8522" w:type="dxa"/>
          </w:tcPr>
          <w:p w:rsidR="00C873CF">
            <w:pPr>
              <w:numPr>
                <w:ilvl w:val="0"/>
                <w:numId w:val="3"/>
              </w:numPr>
              <w:jc w:val="left"/>
              <w:rPr>
                <w:rFonts w:ascii="仿宋" w:eastAsia="仿宋" w:hAnsi="仿宋"/>
                <w:shd w:val="clear" w:color="auto" w:fill="FFFFFF"/>
              </w:rPr>
            </w:pPr>
            <w:r>
              <w:rPr>
                <w:rFonts w:ascii="仿宋" w:eastAsia="仿宋" w:hAnsi="仿宋" w:hint="eastAsia"/>
                <w:shd w:val="clear" w:color="auto" w:fill="FFFFFF"/>
              </w:rPr>
              <w:t>本报告适用于</w:t>
            </w:r>
            <w:r>
              <w:rPr>
                <w:rFonts w:ascii="仿宋" w:eastAsia="仿宋" w:hAnsi="仿宋" w:cs="仿宋"/>
                <w:b w:val="0"/>
                <w:i w:val="0"/>
                <w:color w:val="000000"/>
                <w:position w:val="-1"/>
                <w:u w:val="none"/>
              </w:rPr>
              <w:t>招银理财招睿鑫鼎7天持有期7号固定收益类理财计划</w:t>
            </w:r>
            <w:r>
              <w:rPr>
                <w:rFonts w:ascii="仿宋" w:eastAsia="仿宋" w:hAnsi="仿宋" w:hint="eastAsia"/>
                <w:shd w:val="clear" w:color="auto" w:fill="FFFFFF"/>
              </w:rPr>
              <w:t>。理财产品</w:t>
            </w:r>
            <w:r>
              <w:rPr>
                <w:rFonts w:ascii="仿宋" w:eastAsia="仿宋" w:hAnsi="仿宋"/>
                <w:shd w:val="clear" w:color="auto" w:fill="FFFFFF"/>
              </w:rPr>
              <w:t>管理人</w:t>
            </w:r>
            <w:r>
              <w:rPr>
                <w:rFonts w:ascii="仿宋" w:eastAsia="仿宋" w:hAnsi="仿宋" w:hint="eastAsia"/>
                <w:shd w:val="clear" w:color="auto" w:fill="FFFFFF"/>
              </w:rPr>
              <w:t>保证</w:t>
            </w:r>
            <w:r>
              <w:rPr>
                <w:rFonts w:ascii="仿宋" w:eastAsia="仿宋" w:hAnsi="仿宋"/>
                <w:shd w:val="clear" w:color="auto" w:fill="FFFFFF"/>
              </w:rPr>
              <w:t>本报告所载资料不存在虚假记载、误导性陈述或重大遗漏。</w:t>
            </w:r>
          </w:p>
          <w:p w:rsidR="00C873CF">
            <w:pPr>
              <w:numPr>
                <w:ilvl w:val="0"/>
                <w:numId w:val="3"/>
              </w:numPr>
              <w:jc w:val="left"/>
              <w:rPr>
                <w:rFonts w:ascii="仿宋" w:eastAsia="仿宋" w:hAnsi="仿宋"/>
                <w:shd w:val="clear" w:color="auto" w:fill="FFFFFF"/>
              </w:rPr>
            </w:pPr>
            <w:r>
              <w:rPr>
                <w:rFonts w:ascii="仿宋" w:eastAsia="仿宋" w:hAnsi="仿宋"/>
                <w:shd w:val="clear" w:color="auto" w:fill="FFFFFF"/>
              </w:rPr>
              <w:t>理财产品管理人承诺以诚实信用、勤勉尽责的原则管理和运用理财产品资产，但不保证理财产品</w:t>
            </w:r>
            <w:r>
              <w:rPr>
                <w:rFonts w:ascii="仿宋" w:eastAsia="仿宋" w:hAnsi="仿宋" w:hint="eastAsia"/>
                <w:shd w:val="clear" w:color="auto" w:fill="FFFFFF"/>
              </w:rPr>
              <w:t>本金和收益</w:t>
            </w:r>
            <w:r>
              <w:rPr>
                <w:rFonts w:ascii="仿宋" w:eastAsia="仿宋" w:hAnsi="仿宋"/>
                <w:shd w:val="clear" w:color="auto" w:fill="FFFFFF"/>
              </w:rPr>
              <w:t>。</w:t>
            </w:r>
          </w:p>
          <w:p w:rsidR="00C873CF">
            <w:pPr>
              <w:numPr>
                <w:ilvl w:val="0"/>
                <w:numId w:val="3"/>
              </w:numPr>
              <w:rPr>
                <w:rFonts w:ascii="仿宋" w:eastAsia="仿宋" w:hAnsi="仿宋"/>
                <w:shd w:val="clear" w:color="auto" w:fill="FFFFFF"/>
              </w:rPr>
            </w:pPr>
            <w:r>
              <w:rPr>
                <w:rFonts w:ascii="仿宋" w:eastAsia="仿宋" w:hAnsi="仿宋" w:hint="eastAsia"/>
                <w:shd w:val="clear" w:color="auto" w:fill="FFFFFF"/>
              </w:rPr>
              <w:t>本产品为净值型产品，业绩表现将随市场波动，具有不确定性，</w:t>
            </w:r>
            <w:r>
              <w:rPr>
                <w:rFonts w:ascii="仿宋" w:eastAsia="仿宋" w:hAnsi="仿宋" w:hint="eastAsia"/>
                <w:b/>
                <w:bCs/>
                <w:shd w:val="clear" w:color="auto" w:fill="FFFFFF"/>
              </w:rPr>
              <w:t>理财产品过往业绩并不代表其未来表现，不等于理财产品实际收益。</w:t>
            </w:r>
            <w:r>
              <w:rPr>
                <w:rFonts w:ascii="仿宋" w:eastAsia="仿宋" w:hAnsi="仿宋" w:hint="eastAsia"/>
                <w:b/>
                <w:shd w:val="clear" w:color="auto" w:fill="FFFFFF"/>
              </w:rPr>
              <w:t>理财非存款、产品有风险、投资须谨慎</w:t>
            </w:r>
            <w:r>
              <w:rPr>
                <w:rFonts w:ascii="仿宋" w:eastAsia="仿宋" w:hAnsi="仿宋" w:hint="eastAsia"/>
                <w:shd w:val="clear" w:color="auto" w:fill="FFFFFF"/>
              </w:rPr>
              <w:t>，投资者在作出投资决策前应仔细阅读本理财产品的销售文件。</w:t>
            </w:r>
          </w:p>
          <w:p w:rsidR="00C873CF">
            <w:pPr>
              <w:numPr>
                <w:ilvl w:val="0"/>
                <w:numId w:val="3"/>
              </w:numPr>
              <w:jc w:val="left"/>
              <w:rPr>
                <w:rFonts w:ascii="仿宋" w:eastAsia="仿宋" w:hAnsi="仿宋"/>
                <w:shd w:val="clear" w:color="auto" w:fill="FFFFFF"/>
              </w:rPr>
            </w:pPr>
            <w:r>
              <w:rPr>
                <w:rFonts w:ascii="仿宋" w:eastAsia="仿宋" w:hAnsi="仿宋" w:cs="仿宋"/>
                <w:b w:val="0"/>
                <w:i w:val="0"/>
                <w:color w:val="000000"/>
                <w:position w:val="-1"/>
                <w:u w:val="none"/>
              </w:rPr>
              <w:t>本报告期自2026年01月01日起至2026年03月31日止。</w:t>
            </w:r>
          </w:p>
          <w:p w:rsidR="00C873CF">
            <w:pPr>
              <w:jc w:val="left"/>
              <w:rPr>
                <w:rFonts w:ascii="仿宋" w:eastAsia="仿宋" w:hAnsi="仿宋"/>
                <w:shd w:val="clear" w:color="auto" w:fill="FFFFFF"/>
              </w:rPr>
            </w:pPr>
            <w:r>
              <w:rPr>
                <w:rFonts w:ascii="仿宋" w:eastAsia="仿宋" w:hAnsi="仿宋" w:cs="仿宋"/>
                <w:b w:val="0"/>
                <w:i w:val="0"/>
                <w:color w:val="000000"/>
                <w:position w:val="-1"/>
                <w:u w:val="none"/>
              </w:rPr>
              <w:t>注：除非本报告另有说明，本报告内的“元”均指“人民币元”。</w:t>
            </w:r>
          </w:p>
        </w:tc>
      </w:tr>
    </w:tbl>
    <w:p w:rsidR="00C873CF" w:rsidRPr="00F37D7D" w:rsidP="00F37D7D">
      <w:pPr>
        <w:pStyle w:val="Heading1"/>
        <w:spacing w:line="360" w:lineRule="auto"/>
        <w:jc w:val="center"/>
        <w:rPr>
          <w:rFonts w:ascii="宋体" w:hAnsi="宋体"/>
          <w:sz w:val="24"/>
          <w:szCs w:val="24"/>
          <w:shd w:val="clear" w:color="auto" w:fill="FFFFFF"/>
        </w:rPr>
      </w:pPr>
      <w:bookmarkStart w:id="5" w:name="_Toc256000002"/>
      <w:r>
        <w:rPr>
          <w:rFonts w:ascii="宋体" w:hAnsi="宋体" w:hint="eastAsia"/>
          <w:sz w:val="24"/>
          <w:szCs w:val="24"/>
          <w:shd w:val="clear" w:color="auto" w:fill="FFFFFF"/>
        </w:rPr>
        <w:t>§2 理财产品简介</w:t>
      </w:r>
      <w:bookmarkEnd w:id="5"/>
      <w:bookmarkStart w:id="6" w:name="_Toc194311890"/>
      <w:bookmarkStart w:id="7" w:name="_Toc12382918"/>
      <w:bookmarkStart w:id="8" w:name="基础信息"/>
    </w:p>
    <w:p w:rsidR="00A3418A">
      <w:pPr>
        <w:pStyle w:val="Heading2"/>
        <w:rPr>
          <w:sz w:val="24"/>
          <w:szCs w:val="24"/>
          <w:shd w:val="clear" w:color="auto" w:fill="FFFFFF"/>
        </w:rPr>
      </w:pPr>
      <w:bookmarkStart w:id="9" w:name="_Toc256000003"/>
      <w:r>
        <w:rPr>
          <w:rFonts w:hint="eastAsia"/>
          <w:sz w:val="24"/>
          <w:szCs w:val="24"/>
          <w:shd w:val="clear" w:color="auto" w:fill="FFFFFF"/>
        </w:rPr>
        <w:t>2.1 理财产品基本情况</w:t>
      </w:r>
      <w:bookmarkEnd w:id="9"/>
    </w:p>
    <w:tbl>
      <w:tblPr>
        <w:tblStyle w:val="TableNorma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90"/>
        <w:gridCol w:w="5406"/>
      </w:tblGrid>
      <w:tr w:rsidTr="00CA0B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1742" w:type="pct"/>
            <w:shd w:val="clear" w:color="auto" w:fill="auto"/>
          </w:tcPr>
          <w:p w:rsidR="00A3418A" w:rsidP="00C841A7">
            <w:pPr>
              <w:rPr>
                <w:rFonts w:ascii="宋体" w:hAnsi="宋体"/>
                <w:szCs w:val="21"/>
                <w:shd w:val="clear" w:color="auto" w:fill="FFFFFF"/>
              </w:rPr>
            </w:pPr>
            <w:r>
              <w:rPr>
                <w:rFonts w:ascii="宋体" w:hAnsi="宋体" w:hint="eastAsia"/>
                <w:szCs w:val="21"/>
                <w:shd w:val="clear" w:color="auto" w:fill="FFFFFF"/>
              </w:rPr>
              <w:t>理财产品产品代码</w:t>
            </w:r>
          </w:p>
        </w:tc>
        <w:tc>
          <w:tcPr>
            <w:tcW w:w="3258" w:type="pct"/>
            <w:shd w:val="clear" w:color="auto" w:fill="auto"/>
          </w:tcPr>
          <w:p w:rsidR="00A3418A" w:rsidP="00C841A7">
            <w:pPr>
              <w:rPr>
                <w:rFonts w:ascii="宋体" w:hAnsi="宋体"/>
                <w:kern w:val="0"/>
                <w:szCs w:val="21"/>
                <w:shd w:val="clear" w:color="auto" w:fill="FFFFFF"/>
              </w:rPr>
            </w:pPr>
            <w:r>
              <w:rPr>
                <w:rFonts w:ascii="宋体" w:eastAsia="宋体" w:hAnsi="宋体" w:cs="宋体"/>
                <w:b w:val="0"/>
                <w:i w:val="0"/>
                <w:color w:val="000000"/>
                <w:position w:val="-1"/>
                <w:u w:val="none"/>
              </w:rPr>
              <w:t>111411</w:t>
            </w:r>
          </w:p>
        </w:tc>
      </w:tr>
      <w:tr w:rsidTr="00CA0B1A">
        <w:tblPrEx>
          <w:tblW w:w="5000" w:type="pct"/>
          <w:tblLook w:val="04A0"/>
        </w:tblPrEx>
        <w:tc>
          <w:tcPr>
            <w:tcW w:w="1742" w:type="pct"/>
            <w:shd w:val="clear" w:color="auto" w:fill="auto"/>
          </w:tcPr>
          <w:p w:rsidR="00A3418A" w:rsidP="00C841A7">
            <w:pPr>
              <w:rPr>
                <w:rFonts w:ascii="宋体" w:hAnsi="宋体"/>
                <w:szCs w:val="21"/>
                <w:shd w:val="clear" w:color="auto" w:fill="FFFFFF"/>
              </w:rPr>
            </w:pPr>
            <w:r>
              <w:rPr>
                <w:rFonts w:ascii="宋体" w:hAnsi="宋体" w:hint="eastAsia"/>
                <w:szCs w:val="21"/>
                <w:shd w:val="clear" w:color="auto" w:fill="FFFFFF"/>
              </w:rPr>
              <w:t>理财产品名称</w:t>
            </w:r>
          </w:p>
        </w:tc>
        <w:tc>
          <w:tcPr>
            <w:tcW w:w="3258" w:type="pct"/>
            <w:shd w:val="clear" w:color="auto" w:fill="auto"/>
          </w:tcPr>
          <w:p w:rsidR="00A3418A" w:rsidP="00C841A7">
            <w:pPr>
              <w:rPr>
                <w:rFonts w:ascii="宋体" w:hAnsi="宋体"/>
                <w:color w:val="FF0000"/>
                <w:kern w:val="0"/>
                <w:szCs w:val="21"/>
                <w:shd w:val="clear" w:color="auto" w:fill="FFFFFF"/>
              </w:rPr>
            </w:pPr>
            <w:r>
              <w:rPr>
                <w:rFonts w:ascii="宋体" w:eastAsia="宋体" w:hAnsi="宋体" w:cs="宋体"/>
                <w:b w:val="0"/>
                <w:i w:val="0"/>
                <w:color w:val="000000"/>
                <w:position w:val="-1"/>
                <w:u w:val="none"/>
              </w:rPr>
              <w:t>招银理财招睿鑫鼎7天持有期7号固定收益类理财计划</w:t>
            </w:r>
          </w:p>
        </w:tc>
      </w:tr>
      <w:tr w:rsidTr="00CA0B1A">
        <w:tblPrEx>
          <w:tblW w:w="5000" w:type="pct"/>
          <w:tblLook w:val="04A0"/>
        </w:tblPrEx>
        <w:trPr>
          <w:trHeight w:val="259"/>
        </w:trPr>
        <w:tc>
          <w:tcPr>
            <w:tcW w:w="1742" w:type="pct"/>
            <w:shd w:val="clear" w:color="auto" w:fill="auto"/>
            <w:vAlign w:val="center"/>
          </w:tcPr>
          <w:p w:rsidR="00A3418A" w:rsidP="00C841A7">
            <w:pPr>
              <w:rPr>
                <w:rFonts w:ascii="宋体" w:hAnsi="宋体"/>
                <w:szCs w:val="21"/>
                <w:shd w:val="clear" w:color="auto" w:fill="FFFFFF"/>
              </w:rPr>
            </w:pPr>
            <w:r>
              <w:rPr>
                <w:rFonts w:ascii="宋体" w:hAnsi="宋体" w:hint="eastAsia"/>
                <w:szCs w:val="21"/>
                <w:shd w:val="clear" w:color="auto" w:fill="FFFFFF"/>
              </w:rPr>
              <w:t>理财产品登记编码</w:t>
            </w:r>
          </w:p>
        </w:tc>
        <w:tc>
          <w:tcPr>
            <w:tcW w:w="3258" w:type="pct"/>
            <w:shd w:val="clear" w:color="auto" w:fill="auto"/>
          </w:tcPr>
          <w:p w:rsidR="00A3418A" w:rsidP="00C841A7">
            <w:pPr>
              <w:rPr>
                <w:rFonts w:ascii="宋体" w:hAnsi="宋体"/>
                <w:kern w:val="0"/>
                <w:szCs w:val="21"/>
                <w:shd w:val="clear" w:color="auto" w:fill="FFFFFF"/>
              </w:rPr>
            </w:pPr>
            <w:r>
              <w:rPr>
                <w:rFonts w:ascii="宋体" w:eastAsia="宋体" w:hAnsi="宋体" w:cs="宋体"/>
                <w:b w:val="0"/>
                <w:i w:val="0"/>
                <w:color w:val="000000"/>
                <w:position w:val="-1"/>
                <w:u w:val="none"/>
              </w:rPr>
              <w:t>Z7001625000633</w:t>
            </w:r>
          </w:p>
        </w:tc>
      </w:tr>
      <w:tr w:rsidTr="00CA0B1A">
        <w:tblPrEx>
          <w:tblW w:w="5000" w:type="pct"/>
          <w:tblLook w:val="04A0"/>
        </w:tblPrEx>
        <w:tc>
          <w:tcPr>
            <w:tcW w:w="1742" w:type="pct"/>
            <w:shd w:val="clear" w:color="auto" w:fill="auto"/>
          </w:tcPr>
          <w:p w:rsidR="00A3418A" w:rsidP="00C841A7">
            <w:pPr>
              <w:rPr>
                <w:rFonts w:ascii="宋体" w:hAnsi="宋体"/>
                <w:szCs w:val="21"/>
                <w:shd w:val="clear" w:color="auto" w:fill="FFFFFF"/>
              </w:rPr>
            </w:pPr>
            <w:r>
              <w:rPr>
                <w:rFonts w:ascii="宋体" w:hAnsi="宋体" w:hint="eastAsia"/>
                <w:szCs w:val="21"/>
                <w:shd w:val="clear" w:color="auto" w:fill="FFFFFF"/>
              </w:rPr>
              <w:t>产品</w:t>
            </w:r>
            <w:r>
              <w:rPr>
                <w:rFonts w:ascii="宋体" w:hAnsi="宋体"/>
                <w:szCs w:val="21"/>
                <w:shd w:val="clear" w:color="auto" w:fill="FFFFFF"/>
              </w:rPr>
              <w:t>投资</w:t>
            </w:r>
            <w:r>
              <w:rPr>
                <w:rFonts w:ascii="宋体" w:hAnsi="宋体" w:hint="eastAsia"/>
                <w:szCs w:val="21"/>
                <w:shd w:val="clear" w:color="auto" w:fill="FFFFFF"/>
              </w:rPr>
              <w:t>类型</w:t>
            </w:r>
          </w:p>
        </w:tc>
        <w:tc>
          <w:tcPr>
            <w:tcW w:w="3258" w:type="pct"/>
            <w:shd w:val="clear" w:color="auto" w:fill="auto"/>
          </w:tcPr>
          <w:p w:rsidR="00A3418A" w:rsidP="00C841A7">
            <w:pPr>
              <w:rPr>
                <w:rFonts w:ascii="宋体" w:hAnsi="宋体"/>
                <w:kern w:val="0"/>
                <w:szCs w:val="21"/>
                <w:shd w:val="clear" w:color="auto" w:fill="FFFFFF"/>
              </w:rPr>
            </w:pPr>
            <w:r>
              <w:rPr>
                <w:rFonts w:ascii="宋体" w:eastAsia="宋体" w:hAnsi="宋体" w:cs="宋体"/>
                <w:b w:val="0"/>
                <w:i w:val="0"/>
                <w:color w:val="000000"/>
                <w:position w:val="-1"/>
                <w:u w:val="none"/>
              </w:rPr>
              <w:t>固定收益类产品</w:t>
            </w:r>
          </w:p>
        </w:tc>
      </w:tr>
      <w:tr w:rsidTr="00CA0B1A">
        <w:tblPrEx>
          <w:tblW w:w="5000" w:type="pct"/>
          <w:tblLook w:val="04A0"/>
        </w:tblPrEx>
        <w:tc>
          <w:tcPr>
            <w:tcW w:w="1742" w:type="pct"/>
            <w:shd w:val="clear" w:color="auto" w:fill="auto"/>
          </w:tcPr>
          <w:p w:rsidR="00A3418A" w:rsidP="00C841A7">
            <w:pPr>
              <w:rPr>
                <w:rFonts w:ascii="宋体" w:hAnsi="宋体"/>
                <w:szCs w:val="21"/>
                <w:shd w:val="clear" w:color="auto" w:fill="FFFFFF"/>
              </w:rPr>
            </w:pPr>
            <w:r>
              <w:rPr>
                <w:rFonts w:ascii="宋体" w:hAnsi="宋体" w:hint="eastAsia"/>
                <w:szCs w:val="21"/>
                <w:shd w:val="clear" w:color="auto" w:fill="FFFFFF"/>
              </w:rPr>
              <w:t>产品募集</w:t>
            </w:r>
            <w:r>
              <w:rPr>
                <w:rFonts w:ascii="宋体" w:hAnsi="宋体"/>
                <w:szCs w:val="21"/>
                <w:shd w:val="clear" w:color="auto" w:fill="FFFFFF"/>
              </w:rPr>
              <w:t>方式</w:t>
            </w:r>
          </w:p>
        </w:tc>
        <w:tc>
          <w:tcPr>
            <w:tcW w:w="3258" w:type="pct"/>
            <w:shd w:val="clear" w:color="auto" w:fill="auto"/>
          </w:tcPr>
          <w:p w:rsidR="00A3418A" w:rsidP="00C841A7">
            <w:pPr>
              <w:rPr>
                <w:rFonts w:ascii="宋体" w:hAnsi="宋体"/>
                <w:kern w:val="0"/>
                <w:szCs w:val="21"/>
                <w:shd w:val="clear" w:color="auto" w:fill="FFFFFF"/>
              </w:rPr>
            </w:pPr>
            <w:r>
              <w:rPr>
                <w:rFonts w:ascii="宋体" w:eastAsia="宋体" w:hAnsi="宋体" w:cs="宋体"/>
                <w:b w:val="0"/>
                <w:i w:val="0"/>
                <w:color w:val="000000"/>
                <w:position w:val="-1"/>
                <w:u w:val="none"/>
              </w:rPr>
              <w:t>公募</w:t>
            </w:r>
          </w:p>
        </w:tc>
      </w:tr>
      <w:tr w:rsidTr="00CA0B1A">
        <w:tblPrEx>
          <w:tblW w:w="5000" w:type="pct"/>
          <w:tblLook w:val="04A0"/>
        </w:tblPrEx>
        <w:tc>
          <w:tcPr>
            <w:tcW w:w="1742" w:type="pct"/>
            <w:shd w:val="clear" w:color="auto" w:fill="auto"/>
          </w:tcPr>
          <w:p w:rsidR="00A3418A" w:rsidP="00C841A7">
            <w:pPr>
              <w:rPr>
                <w:rFonts w:ascii="宋体" w:hAnsi="宋体"/>
                <w:szCs w:val="21"/>
                <w:shd w:val="clear" w:color="auto" w:fill="FFFFFF"/>
              </w:rPr>
            </w:pPr>
            <w:r>
              <w:rPr>
                <w:rFonts w:ascii="宋体" w:hAnsi="宋体" w:hint="eastAsia"/>
                <w:szCs w:val="21"/>
                <w:shd w:val="clear" w:color="auto" w:fill="FFFFFF"/>
              </w:rPr>
              <w:t>理财产品运作方式</w:t>
            </w:r>
          </w:p>
        </w:tc>
        <w:tc>
          <w:tcPr>
            <w:tcW w:w="3258" w:type="pct"/>
            <w:shd w:val="clear" w:color="auto" w:fill="auto"/>
          </w:tcPr>
          <w:p w:rsidR="00A3418A" w:rsidP="00C841A7">
            <w:pPr>
              <w:rPr>
                <w:rFonts w:ascii="宋体" w:hAnsi="宋体"/>
                <w:kern w:val="0"/>
                <w:szCs w:val="21"/>
                <w:shd w:val="clear" w:color="auto" w:fill="FFFFFF"/>
              </w:rPr>
            </w:pPr>
            <w:r>
              <w:rPr>
                <w:rFonts w:ascii="宋体" w:eastAsia="宋体" w:hAnsi="宋体" w:cs="宋体"/>
                <w:b w:val="0"/>
                <w:i w:val="0"/>
                <w:color w:val="000000"/>
                <w:position w:val="-1"/>
                <w:u w:val="none"/>
              </w:rPr>
              <w:t>开放式</w:t>
            </w:r>
          </w:p>
        </w:tc>
      </w:tr>
      <w:tr w:rsidTr="00CA0B1A">
        <w:tblPrEx>
          <w:tblW w:w="5000" w:type="pct"/>
          <w:tblLook w:val="04A0"/>
        </w:tblPrEx>
        <w:tc>
          <w:tcPr>
            <w:tcW w:w="1742" w:type="pct"/>
            <w:shd w:val="clear" w:color="auto" w:fill="auto"/>
          </w:tcPr>
          <w:p w:rsidR="00A3418A" w:rsidP="00C841A7">
            <w:pPr>
              <w:rPr>
                <w:rFonts w:ascii="宋体" w:hAnsi="宋体"/>
                <w:szCs w:val="21"/>
                <w:shd w:val="clear" w:color="auto" w:fill="FFFFFF"/>
              </w:rPr>
            </w:pPr>
            <w:r>
              <w:rPr>
                <w:rFonts w:ascii="宋体" w:hAnsi="宋体" w:hint="eastAsia"/>
                <w:szCs w:val="21"/>
                <w:shd w:val="clear" w:color="auto" w:fill="FFFFFF"/>
              </w:rPr>
              <w:t>业绩</w:t>
            </w:r>
            <w:r>
              <w:rPr>
                <w:rFonts w:ascii="宋体" w:hAnsi="宋体"/>
                <w:szCs w:val="21"/>
                <w:shd w:val="clear" w:color="auto" w:fill="FFFFFF"/>
              </w:rPr>
              <w:t>比较基准</w:t>
            </w:r>
            <w:r>
              <w:rPr>
                <w:rFonts w:ascii="宋体" w:hAnsi="宋体" w:hint="eastAsia"/>
                <w:szCs w:val="21"/>
                <w:shd w:val="clear" w:color="auto" w:fill="FFFFFF"/>
              </w:rPr>
              <w:t>（如有）</w:t>
            </w:r>
          </w:p>
        </w:tc>
        <w:tc>
          <w:tcPr>
            <w:tcW w:w="3258" w:type="pct"/>
            <w:shd w:val="clear" w:color="auto" w:fill="auto"/>
          </w:tcPr>
          <w:p w:rsidR="00A3418A" w:rsidP="00C841A7">
            <w:pPr>
              <w:rPr>
                <w:rFonts w:ascii="宋体" w:hAnsi="宋体"/>
                <w:kern w:val="0"/>
                <w:szCs w:val="21"/>
                <w:shd w:val="clear" w:color="auto" w:fill="FFFFFF"/>
              </w:rPr>
            </w:pPr>
            <w:r>
              <w:rPr>
                <w:rFonts w:ascii="宋体" w:eastAsia="宋体" w:hAnsi="宋体" w:cs="宋体"/>
                <w:b w:val="0"/>
                <w:i w:val="0"/>
                <w:color w:val="000000"/>
                <w:position w:val="-1"/>
                <w:u w:val="none"/>
              </w:rPr>
              <w:t>111411T：30.00%×中国人民银行公布的活期存款利率+70.00%×中债0-3个月国债财富（总值）指数收益率；111411X：30.00%×中国人民银行公布的活期存款利率+70.00%×中债0-3个月国债财富（总值）指数收益率；11411N：30.00%×中国人民银行公布的活期存款利率+70.00%×中债0-3个月国债财富（总值）指数收益率；11411P：30.00%×中国人民银行公布的活期存款利率+70.00%×中债0-3个月国债财富（总值）指数收益率；11411WZ：30.00%×中国人民银行公布的活期存款利率+70.00%×中债0-3个月国债财富（总值）指数收益率（本产品为净值型产品，业绩表现将随市场波动，具有不确定性。）</w:t>
            </w:r>
          </w:p>
        </w:tc>
      </w:tr>
      <w:tr w:rsidTr="00CA0B1A">
        <w:tblPrEx>
          <w:tblW w:w="5000" w:type="pct"/>
          <w:tblLook w:val="04A0"/>
        </w:tblPrEx>
        <w:tc>
          <w:tcPr>
            <w:tcW w:w="1742" w:type="pct"/>
            <w:shd w:val="clear" w:color="auto" w:fill="auto"/>
          </w:tcPr>
          <w:p w:rsidR="00A3418A" w:rsidP="00C841A7">
            <w:pPr>
              <w:rPr>
                <w:rFonts w:ascii="宋体" w:hAnsi="宋体"/>
                <w:szCs w:val="21"/>
                <w:shd w:val="clear" w:color="auto" w:fill="FFFFFF"/>
              </w:rPr>
            </w:pPr>
            <w:r>
              <w:rPr>
                <w:rFonts w:ascii="宋体" w:hAnsi="宋体" w:hint="eastAsia"/>
                <w:szCs w:val="21"/>
                <w:shd w:val="clear" w:color="auto" w:fill="FFFFFF"/>
              </w:rPr>
              <w:t>业绩</w:t>
            </w:r>
            <w:r>
              <w:rPr>
                <w:rFonts w:ascii="宋体" w:hAnsi="宋体"/>
                <w:szCs w:val="21"/>
                <w:shd w:val="clear" w:color="auto" w:fill="FFFFFF"/>
              </w:rPr>
              <w:t>比较基准测算说明</w:t>
            </w:r>
            <w:r>
              <w:rPr>
                <w:rFonts w:ascii="宋体" w:hAnsi="宋体" w:hint="eastAsia"/>
                <w:szCs w:val="21"/>
                <w:shd w:val="clear" w:color="auto" w:fill="FFFFFF"/>
              </w:rPr>
              <w:t>（如有）</w:t>
            </w:r>
          </w:p>
        </w:tc>
        <w:tc>
          <w:tcPr>
            <w:tcW w:w="3258" w:type="pct"/>
            <w:shd w:val="clear" w:color="auto" w:fill="auto"/>
          </w:tcPr>
          <w:p w:rsidR="00A3418A" w:rsidP="00C841A7">
            <w:pPr>
              <w:rPr>
                <w:rFonts w:ascii="宋体" w:hAnsi="宋体"/>
                <w:kern w:val="0"/>
                <w:szCs w:val="21"/>
                <w:shd w:val="clear" w:color="auto" w:fill="FFFFFF"/>
              </w:rPr>
            </w:pPr>
            <w:r>
              <w:rPr>
                <w:rFonts w:ascii="宋体" w:eastAsia="宋体" w:hAnsi="宋体" w:cs="宋体"/>
                <w:b w:val="0"/>
                <w:i w:val="0"/>
                <w:color w:val="000000"/>
                <w:position w:val="-1"/>
                <w:u w:val="none"/>
              </w:rPr>
              <w:t>以产品投资固定收益类资产不低于80%为例，根据当前市场环境下大类资产合意配置比例及大类资产收益情况，考虑杠杆和费率等因素，并结合产品投资策略进行测算。</w:t>
            </w:r>
          </w:p>
        </w:tc>
      </w:tr>
      <w:tr w:rsidTr="00CA0B1A">
        <w:tblPrEx>
          <w:tblW w:w="5000" w:type="pct"/>
          <w:tblLook w:val="04A0"/>
        </w:tblPrEx>
        <w:tc>
          <w:tcPr>
            <w:tcW w:w="1742" w:type="pct"/>
            <w:shd w:val="clear" w:color="auto" w:fill="auto"/>
          </w:tcPr>
          <w:p w:rsidR="00A3418A" w:rsidP="00C841A7">
            <w:pPr>
              <w:rPr>
                <w:rFonts w:ascii="宋体" w:hAnsi="宋体"/>
                <w:szCs w:val="21"/>
                <w:shd w:val="clear" w:color="auto" w:fill="FFFFFF"/>
              </w:rPr>
            </w:pPr>
            <w:r>
              <w:rPr>
                <w:rFonts w:ascii="宋体" w:hAnsi="宋体" w:hint="eastAsia"/>
                <w:color w:val="000000"/>
                <w:szCs w:val="21"/>
                <w:shd w:val="clear" w:color="auto" w:fill="FFFFFF"/>
              </w:rPr>
              <w:t>产品风险</w:t>
            </w:r>
            <w:r>
              <w:rPr>
                <w:rFonts w:ascii="宋体" w:hAnsi="宋体"/>
                <w:color w:val="000000"/>
                <w:szCs w:val="21"/>
                <w:shd w:val="clear" w:color="auto" w:fill="FFFFFF"/>
              </w:rPr>
              <w:t>评级</w:t>
            </w:r>
          </w:p>
        </w:tc>
        <w:tc>
          <w:tcPr>
            <w:tcW w:w="3258" w:type="pct"/>
            <w:shd w:val="clear" w:color="auto" w:fill="auto"/>
          </w:tcPr>
          <w:p w:rsidR="00A3418A" w:rsidP="00C841A7">
            <w:pPr>
              <w:rPr>
                <w:rFonts w:ascii="宋体" w:hAnsi="宋体"/>
                <w:kern w:val="0"/>
                <w:szCs w:val="21"/>
                <w:shd w:val="clear" w:color="auto" w:fill="FFFFFF"/>
              </w:rPr>
            </w:pPr>
            <w:r>
              <w:rPr>
                <w:rFonts w:ascii="宋体" w:eastAsia="宋体" w:hAnsi="宋体" w:cs="宋体"/>
                <w:b w:val="0"/>
                <w:i w:val="0"/>
                <w:color w:val="000000"/>
                <w:position w:val="-1"/>
                <w:u w:val="none"/>
              </w:rPr>
              <w:t>PR2</w:t>
            </w:r>
          </w:p>
        </w:tc>
      </w:tr>
      <w:tr w:rsidTr="00CA0B1A">
        <w:tblPrEx>
          <w:tblW w:w="5000" w:type="pct"/>
          <w:tblLook w:val="04A0"/>
        </w:tblPrEx>
        <w:tc>
          <w:tcPr>
            <w:tcW w:w="1742" w:type="pct"/>
            <w:shd w:val="clear" w:color="auto" w:fill="auto"/>
          </w:tcPr>
          <w:p w:rsidR="00A3418A" w:rsidP="00C841A7">
            <w:pPr>
              <w:rPr>
                <w:rFonts w:ascii="宋体" w:hAnsi="宋体"/>
                <w:color w:val="000000"/>
                <w:szCs w:val="21"/>
                <w:shd w:val="clear" w:color="auto" w:fill="FFFFFF"/>
              </w:rPr>
            </w:pPr>
            <w:r>
              <w:rPr>
                <w:rFonts w:ascii="宋体" w:hAnsi="宋体" w:hint="eastAsia"/>
                <w:color w:val="000000"/>
                <w:szCs w:val="21"/>
                <w:shd w:val="clear" w:color="auto" w:fill="FFFFFF"/>
              </w:rPr>
              <w:t>杠杆</w:t>
            </w:r>
            <w:r>
              <w:rPr>
                <w:rFonts w:ascii="宋体" w:hAnsi="宋体"/>
                <w:color w:val="000000"/>
                <w:szCs w:val="21"/>
                <w:shd w:val="clear" w:color="auto" w:fill="FFFFFF"/>
              </w:rPr>
              <w:t>水平</w:t>
            </w:r>
          </w:p>
        </w:tc>
        <w:tc>
          <w:tcPr>
            <w:tcW w:w="3258" w:type="pct"/>
            <w:shd w:val="clear" w:color="auto" w:fill="auto"/>
          </w:tcPr>
          <w:p w:rsidR="00A3418A" w:rsidP="00C841A7">
            <w:pPr>
              <w:rPr>
                <w:rFonts w:ascii="宋体" w:hAnsi="宋体"/>
                <w:kern w:val="0"/>
                <w:szCs w:val="21"/>
                <w:shd w:val="clear" w:color="auto" w:fill="FFFFFF"/>
              </w:rPr>
            </w:pPr>
            <w:r>
              <w:rPr>
                <w:rFonts w:ascii="宋体" w:eastAsia="宋体" w:hAnsi="宋体" w:cs="宋体"/>
                <w:b w:val="0"/>
                <w:i w:val="0"/>
                <w:color w:val="000000"/>
                <w:position w:val="-1"/>
                <w:u w:val="none"/>
              </w:rPr>
              <w:t>100.04</w:t>
            </w:r>
            <w:r w:rsidR="002E0136">
              <w:rPr>
                <w:rFonts w:ascii="宋体" w:hAnsi="宋体"/>
                <w:kern w:val="0"/>
                <w:szCs w:val="21"/>
                <w:shd w:val="clear" w:color="auto" w:fill="FFFFFF"/>
              </w:rPr>
              <w:t>%</w:t>
            </w:r>
            <w:bookmarkStart w:id="10" w:name="杠杆水平"/>
            <w:bookmarkEnd w:id="10"/>
          </w:p>
        </w:tc>
      </w:tr>
      <w:tr w:rsidTr="00CA0B1A">
        <w:tblPrEx>
          <w:tblW w:w="5000" w:type="pct"/>
          <w:tblLook w:val="04A0"/>
        </w:tblPrEx>
        <w:tc>
          <w:tcPr>
            <w:tcW w:w="1742" w:type="pct"/>
            <w:shd w:val="clear" w:color="auto" w:fill="auto"/>
          </w:tcPr>
          <w:p w:rsidR="00A3418A" w:rsidP="00C841A7">
            <w:pPr>
              <w:rPr>
                <w:rFonts w:ascii="宋体" w:hAnsi="宋体"/>
                <w:kern w:val="0"/>
                <w:szCs w:val="21"/>
                <w:shd w:val="clear" w:color="auto" w:fill="FFFFFF"/>
              </w:rPr>
            </w:pPr>
            <w:r>
              <w:rPr>
                <w:rFonts w:ascii="宋体" w:hAnsi="宋体" w:hint="eastAsia"/>
                <w:color w:val="000000"/>
                <w:szCs w:val="21"/>
                <w:shd w:val="clear" w:color="auto" w:fill="FFFFFF"/>
              </w:rPr>
              <w:t>报告期末理财产品份额总额</w:t>
            </w:r>
          </w:p>
        </w:tc>
        <w:tc>
          <w:tcPr>
            <w:tcW w:w="3258" w:type="pct"/>
            <w:shd w:val="clear" w:color="auto" w:fill="auto"/>
          </w:tcPr>
          <w:p w:rsidR="00A3418A" w:rsidP="00C841A7">
            <w:pPr>
              <w:rPr>
                <w:rFonts w:ascii="宋体" w:hAnsi="宋体"/>
                <w:kern w:val="0"/>
                <w:szCs w:val="21"/>
                <w:shd w:val="clear" w:color="auto" w:fill="FFFFFF"/>
              </w:rPr>
            </w:pPr>
            <w:r>
              <w:rPr>
                <w:rFonts w:ascii="宋体" w:eastAsia="宋体" w:hAnsi="宋体" w:cs="宋体"/>
                <w:b w:val="0"/>
                <w:i w:val="0"/>
                <w:color w:val="000000"/>
                <w:position w:val="-1"/>
                <w:u w:val="none"/>
              </w:rPr>
              <w:t>500,012,016.49</w:t>
            </w:r>
          </w:p>
        </w:tc>
      </w:tr>
      <w:tr w:rsidTr="00CA0B1A">
        <w:tblPrEx>
          <w:tblW w:w="5000" w:type="pct"/>
          <w:tblLook w:val="04A0"/>
        </w:tblPrEx>
        <w:tc>
          <w:tcPr>
            <w:tcW w:w="1742" w:type="pct"/>
            <w:shd w:val="clear" w:color="auto" w:fill="auto"/>
          </w:tcPr>
          <w:p w:rsidR="00A3418A" w:rsidP="00C841A7">
            <w:pPr>
              <w:rPr>
                <w:rFonts w:ascii="宋体" w:hAnsi="宋体"/>
                <w:szCs w:val="21"/>
                <w:shd w:val="clear" w:color="auto" w:fill="FFFFFF"/>
              </w:rPr>
            </w:pPr>
            <w:r>
              <w:rPr>
                <w:rFonts w:ascii="宋体" w:hAnsi="宋体" w:hint="eastAsia"/>
                <w:color w:val="000000"/>
                <w:szCs w:val="21"/>
                <w:shd w:val="clear" w:color="auto" w:fill="FFFFFF"/>
              </w:rPr>
              <w:t>理财产品成立日</w:t>
            </w:r>
          </w:p>
        </w:tc>
        <w:tc>
          <w:tcPr>
            <w:tcW w:w="3258" w:type="pct"/>
            <w:shd w:val="clear" w:color="auto" w:fill="auto"/>
          </w:tcPr>
          <w:p w:rsidR="00A3418A" w:rsidP="00C841A7">
            <w:pPr>
              <w:rPr>
                <w:rFonts w:ascii="宋体" w:hAnsi="宋体"/>
                <w:kern w:val="0"/>
                <w:szCs w:val="21"/>
                <w:shd w:val="clear" w:color="auto" w:fill="FFFFFF"/>
              </w:rPr>
            </w:pPr>
            <w:r>
              <w:rPr>
                <w:rFonts w:ascii="宋体" w:eastAsia="宋体" w:hAnsi="宋体" w:cs="宋体"/>
                <w:b w:val="0"/>
                <w:i w:val="0"/>
                <w:color w:val="000000"/>
                <w:position w:val="-1"/>
                <w:u w:val="none"/>
              </w:rPr>
              <w:t>2025年07月01日</w:t>
            </w:r>
          </w:p>
        </w:tc>
      </w:tr>
      <w:tr w:rsidTr="00CA0B1A">
        <w:tblPrEx>
          <w:tblW w:w="5000" w:type="pct"/>
          <w:tblLook w:val="04A0"/>
        </w:tblPrEx>
        <w:tc>
          <w:tcPr>
            <w:tcW w:w="1742" w:type="pct"/>
            <w:shd w:val="clear" w:color="auto" w:fill="auto"/>
          </w:tcPr>
          <w:p w:rsidR="00A3418A" w:rsidP="00C841A7">
            <w:pPr>
              <w:rPr>
                <w:rFonts w:ascii="宋体" w:hAnsi="宋体"/>
                <w:szCs w:val="21"/>
                <w:shd w:val="clear" w:color="auto" w:fill="FFFFFF"/>
              </w:rPr>
            </w:pPr>
            <w:r>
              <w:rPr>
                <w:rFonts w:ascii="宋体" w:hAnsi="宋体" w:hint="eastAsia"/>
                <w:color w:val="000000"/>
                <w:szCs w:val="21"/>
                <w:shd w:val="clear" w:color="auto" w:fill="FFFFFF"/>
              </w:rPr>
              <w:t>理财产品计划到期日</w:t>
            </w:r>
          </w:p>
        </w:tc>
        <w:tc>
          <w:tcPr>
            <w:tcW w:w="3258" w:type="pct"/>
            <w:shd w:val="clear" w:color="auto" w:fill="auto"/>
          </w:tcPr>
          <w:p w:rsidR="00A3418A" w:rsidP="00C841A7">
            <w:pPr>
              <w:rPr>
                <w:rFonts w:ascii="宋体" w:hAnsi="宋体"/>
                <w:kern w:val="0"/>
                <w:szCs w:val="21"/>
                <w:shd w:val="clear" w:color="auto" w:fill="FFFFFF"/>
              </w:rPr>
            </w:pPr>
            <w:r>
              <w:rPr>
                <w:rFonts w:ascii="宋体" w:eastAsia="宋体" w:hAnsi="宋体" w:cs="宋体"/>
                <w:b w:val="0"/>
                <w:i w:val="0"/>
                <w:color w:val="000000"/>
                <w:position w:val="-1"/>
                <w:u w:val="none"/>
              </w:rPr>
              <w:t>2055年07月01日（如遇非工作日/交易日顺延至下一工作日/交易日，具体以产品说明书为准，或在理财计划存续期内理财产品管理人根据本产品说明书约定事由宣布提前或延期终止本理财计划之日。）</w:t>
            </w:r>
          </w:p>
        </w:tc>
      </w:tr>
    </w:tbl>
    <w:p w:rsidR="00A3418A">
      <w:r w:rsidRPr="00E3035C">
        <w:rPr>
          <w:rFonts w:ascii="宋体" w:hAnsi="宋体" w:hint="eastAsia"/>
          <w:shd w:val="clear" w:color="auto" w:fill="FFFFFF"/>
        </w:rPr>
        <w:t>注：本产品为净值型产品，业绩表现将随市场波动，具有不确定性。业绩比较基准是管理人基于产品性质、投资策略、过往经验等因素对产品设定的投资目标，业绩比较基准不是预期收益率，不代表产品的未来表现和实际收益，不构成对产品收益的承诺。</w:t>
      </w:r>
    </w:p>
    <w:p w:rsidP="00F37D7D">
      <w:pPr>
        <w:pStyle w:val="Heading1"/>
        <w:spacing w:line="360" w:lineRule="auto"/>
        <w:jc w:val="center"/>
        <w:rPr>
          <w:rFonts w:ascii="宋体" w:hAnsi="宋体" w:hint="eastAsia"/>
          <w:sz w:val="24"/>
          <w:szCs w:val="24"/>
          <w:shd w:val="clear" w:color="auto" w:fill="FFFFFF"/>
        </w:rPr>
      </w:pPr>
      <w:bookmarkEnd w:id="6"/>
      <w:bookmarkEnd w:id="7"/>
      <w:bookmarkEnd w:id="8"/>
    </w:p>
    <w:p w:rsidR="00C873CF">
      <w:pPr>
        <w:pStyle w:val="Heading1"/>
        <w:spacing w:line="360" w:lineRule="auto"/>
        <w:jc w:val="center"/>
        <w:rPr>
          <w:rFonts w:ascii="宋体" w:hAnsi="宋体"/>
          <w:sz w:val="24"/>
          <w:szCs w:val="24"/>
          <w:shd w:val="clear" w:color="auto" w:fill="FFFFFF"/>
        </w:rPr>
      </w:pPr>
      <w:bookmarkStart w:id="11" w:name="_Toc256000005"/>
      <w:r>
        <w:rPr>
          <w:rFonts w:ascii="宋体" w:hAnsi="宋体" w:hint="eastAsia"/>
          <w:sz w:val="24"/>
          <w:szCs w:val="24"/>
          <w:shd w:val="clear" w:color="auto" w:fill="FFFFFF"/>
        </w:rPr>
        <w:t>§3 理财产品净值表现</w:t>
      </w:r>
      <w:bookmarkEnd w:id="11"/>
      <w:bookmarkStart w:id="12" w:name="_Toc193947511"/>
      <w:bookmarkStart w:id="13" w:name="_Toc12382920"/>
      <w:bookmarkStart w:id="14" w:name="_Toc194312018"/>
      <w:bookmarkEnd w:id="12"/>
      <w:bookmarkEnd w:id="13"/>
      <w:bookmarkEnd w:id="14"/>
    </w:p>
    <w:p w:rsidR="00C873CF">
      <w:pPr>
        <w:pStyle w:val="Heading2"/>
        <w:rPr>
          <w:sz w:val="24"/>
          <w:szCs w:val="24"/>
          <w:shd w:val="clear" w:color="auto" w:fill="FFFFFF"/>
        </w:rPr>
      </w:pPr>
      <w:bookmarkStart w:id="15" w:name="_Toc256000006"/>
      <w:r>
        <w:rPr>
          <w:rFonts w:hint="eastAsia"/>
          <w:sz w:val="24"/>
          <w:szCs w:val="24"/>
          <w:shd w:val="clear" w:color="auto" w:fill="FFFFFF"/>
        </w:rPr>
        <w:t>3.1 截至报告期末产品资产净值及份额净值</w:t>
      </w:r>
      <w:bookmarkEnd w:id="15"/>
    </w:p>
    <w:p w:rsidR="00C873CF">
      <w:pPr>
        <w:adjustRightInd w:val="0"/>
        <w:snapToGrid w:val="0"/>
        <w:ind w:firstLine="420" w:firstLineChars="200"/>
        <w:rPr>
          <w:rFonts w:ascii="宋体" w:hAnsi="宋体"/>
          <w:sz w:val="24"/>
          <w:shd w:val="clear" w:color="auto" w:fill="FFFFFF"/>
        </w:rPr>
      </w:pPr>
      <w:r>
        <w:rPr>
          <w:rFonts w:ascii="宋体" w:eastAsia="宋体" w:hAnsi="宋体" w:cs="宋体"/>
          <w:b w:val="0"/>
          <w:i w:val="0"/>
          <w:color w:val="000000"/>
          <w:position w:val="-1"/>
          <w:sz w:val="24"/>
          <w:u w:val="none"/>
        </w:rPr>
        <w:t>截至本报告期末，产品的资产净值为514,176,894.08元，产品份额净值为1.0283元，产品份额累计净值为1.0283元。</w:t>
      </w:r>
    </w:p>
    <w:p w:rsidR="00C873CF">
      <w:pPr>
        <w:rPr>
          <w:rFonts w:ascii="宋体" w:hAnsi="宋体"/>
          <w:szCs w:val="21"/>
          <w:shd w:val="clear" w:color="auto" w:fill="FFFFFF"/>
        </w:rPr>
      </w:pPr>
      <w:r>
        <w:rPr>
          <w:rFonts w:ascii="宋体" w:hAnsi="宋体" w:hint="eastAsia"/>
          <w:szCs w:val="21"/>
          <w:shd w:val="clear" w:color="auto" w:fill="FFFFFF"/>
        </w:rPr>
        <w:t>注：</w:t>
      </w:r>
      <w:r>
        <w:rPr>
          <w:rFonts w:ascii="宋体" w:hAnsi="宋体"/>
          <w:szCs w:val="21"/>
          <w:shd w:val="clear" w:color="auto" w:fill="FFFFFF"/>
        </w:rPr>
        <w:t>份额净值=资产净值/份额总额；份额累计净值=份额净值+产品成立后份额的累计分红金额。</w:t>
      </w:r>
    </w:p>
    <w:p w:rsidR="00C873CF">
      <w:pPr>
        <w:pStyle w:val="Heading2"/>
        <w:rPr>
          <w:sz w:val="24"/>
          <w:szCs w:val="24"/>
          <w:shd w:val="clear" w:color="auto" w:fill="FFFFFF"/>
        </w:rPr>
      </w:pPr>
      <w:bookmarkStart w:id="16" w:name="_Toc256000007"/>
      <w:r>
        <w:rPr>
          <w:rFonts w:hint="eastAsia"/>
          <w:sz w:val="24"/>
          <w:szCs w:val="24"/>
          <w:shd w:val="clear" w:color="auto" w:fill="FFFFFF"/>
        </w:rPr>
        <w:t>3.2 理财产品年化收益率</w:t>
      </w:r>
      <w:bookmarkEnd w:id="16"/>
    </w:p>
    <w:tbl>
      <w:tblPr>
        <w:tblpPr w:leftFromText="180" w:rightFromText="180" w:vertAnchor="text" w:horzAnchor="margin" w:tblpXSpec="center" w:tblpY="270"/>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1"/>
        <w:gridCol w:w="992"/>
        <w:gridCol w:w="993"/>
        <w:gridCol w:w="850"/>
        <w:gridCol w:w="851"/>
        <w:gridCol w:w="992"/>
        <w:gridCol w:w="992"/>
        <w:gridCol w:w="992"/>
        <w:gridCol w:w="1134"/>
      </w:tblGrid>
      <w:tr>
        <w:tblPrEx>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841"/>
          <w:jc w:val="center"/>
        </w:trPr>
        <w:tc>
          <w:tcPr>
            <w:tcW w:w="1271" w:type="dxa"/>
            <w:shd w:val="clear" w:color="auto" w:fill="BFBFBF"/>
            <w:vAlign w:val="center"/>
          </w:tcPr>
          <w:p w:rsidR="00C873CF">
            <w:pPr>
              <w:widowControl/>
              <w:jc w:val="center"/>
              <w:rPr>
                <w:rFonts w:ascii="宋体" w:hAnsi="宋体" w:cs="宋体"/>
                <w:b/>
                <w:color w:val="333333"/>
                <w:kern w:val="0"/>
                <w:szCs w:val="21"/>
                <w:highlight w:val="lightGray"/>
                <w:shd w:val="clear" w:color="auto" w:fill="FFFFFF"/>
              </w:rPr>
            </w:pPr>
            <w:r>
              <w:rPr>
                <w:rFonts w:ascii="宋体" w:hAnsi="宋体" w:cs="宋体" w:hint="eastAsia"/>
                <w:b/>
                <w:szCs w:val="21"/>
              </w:rPr>
              <w:t>阶段</w:t>
            </w:r>
          </w:p>
        </w:tc>
        <w:tc>
          <w:tcPr>
            <w:tcW w:w="992" w:type="dxa"/>
            <w:shd w:val="clear" w:color="auto" w:fill="BFBFBF"/>
            <w:vAlign w:val="center"/>
          </w:tcPr>
          <w:p w:rsidR="00C873CF">
            <w:pPr>
              <w:widowControl/>
              <w:jc w:val="center"/>
              <w:rPr>
                <w:rFonts w:ascii="宋体" w:hAnsi="宋体" w:cs="宋体"/>
                <w:b/>
                <w:color w:val="333333"/>
                <w:kern w:val="0"/>
                <w:szCs w:val="21"/>
                <w:highlight w:val="lightGray"/>
                <w:shd w:val="clear" w:color="auto" w:fill="FFFFFF"/>
              </w:rPr>
            </w:pPr>
            <w:r>
              <w:rPr>
                <w:rFonts w:ascii="宋体" w:hAnsi="宋体" w:cs="宋体" w:hint="eastAsia"/>
                <w:b/>
                <w:szCs w:val="21"/>
              </w:rPr>
              <w:t>近三个月</w:t>
            </w:r>
          </w:p>
        </w:tc>
        <w:tc>
          <w:tcPr>
            <w:tcW w:w="993" w:type="dxa"/>
            <w:shd w:val="clear" w:color="auto" w:fill="BFBFBF"/>
            <w:vAlign w:val="center"/>
          </w:tcPr>
          <w:p w:rsidR="00C873CF">
            <w:pPr>
              <w:widowControl/>
              <w:jc w:val="center"/>
              <w:rPr>
                <w:rFonts w:ascii="宋体" w:hAnsi="宋体" w:cs="宋体"/>
                <w:b/>
                <w:color w:val="333333"/>
                <w:kern w:val="0"/>
                <w:szCs w:val="21"/>
                <w:highlight w:val="lightGray"/>
                <w:shd w:val="clear" w:color="auto" w:fill="FFFFFF"/>
              </w:rPr>
            </w:pPr>
            <w:r>
              <w:rPr>
                <w:rFonts w:ascii="宋体" w:hAnsi="宋体" w:cs="宋体" w:hint="eastAsia"/>
                <w:b/>
                <w:szCs w:val="21"/>
              </w:rPr>
              <w:t>近六个月</w:t>
            </w:r>
          </w:p>
        </w:tc>
        <w:tc>
          <w:tcPr>
            <w:tcW w:w="850" w:type="dxa"/>
            <w:shd w:val="clear" w:color="auto" w:fill="BFBFBF"/>
            <w:vAlign w:val="center"/>
          </w:tcPr>
          <w:p w:rsidR="00C873CF">
            <w:pPr>
              <w:widowControl/>
              <w:jc w:val="center"/>
              <w:rPr>
                <w:rFonts w:ascii="宋体" w:hAnsi="宋体" w:cs="宋体"/>
                <w:b/>
                <w:szCs w:val="21"/>
              </w:rPr>
            </w:pPr>
            <w:r>
              <w:rPr>
                <w:rFonts w:ascii="宋体" w:hAnsi="宋体" w:cs="宋体" w:hint="eastAsia"/>
                <w:b/>
                <w:szCs w:val="21"/>
              </w:rPr>
              <w:t>近1个会计年度</w:t>
            </w:r>
          </w:p>
        </w:tc>
        <w:tc>
          <w:tcPr>
            <w:tcW w:w="851" w:type="dxa"/>
            <w:shd w:val="clear" w:color="auto" w:fill="BFBFBF"/>
            <w:vAlign w:val="center"/>
          </w:tcPr>
          <w:p w:rsidR="00C873CF">
            <w:pPr>
              <w:widowControl/>
              <w:jc w:val="center"/>
              <w:rPr>
                <w:rFonts w:ascii="宋体" w:hAnsi="宋体" w:cs="宋体"/>
                <w:b/>
                <w:szCs w:val="21"/>
              </w:rPr>
            </w:pPr>
            <w:r>
              <w:rPr>
                <w:rFonts w:ascii="宋体" w:hAnsi="宋体" w:cs="宋体" w:hint="eastAsia"/>
                <w:b/>
                <w:szCs w:val="21"/>
              </w:rPr>
              <w:t>近2个会计年度</w:t>
            </w:r>
          </w:p>
        </w:tc>
        <w:tc>
          <w:tcPr>
            <w:tcW w:w="992" w:type="dxa"/>
            <w:shd w:val="clear" w:color="auto" w:fill="BFBFBF"/>
            <w:vAlign w:val="center"/>
          </w:tcPr>
          <w:p w:rsidR="00C873CF">
            <w:pPr>
              <w:widowControl/>
              <w:jc w:val="center"/>
              <w:rPr>
                <w:rFonts w:ascii="宋体" w:hAnsi="宋体" w:cs="宋体"/>
                <w:b/>
                <w:color w:val="333333"/>
                <w:kern w:val="0"/>
                <w:szCs w:val="21"/>
                <w:highlight w:val="lightGray"/>
                <w:shd w:val="clear" w:color="auto" w:fill="FFFFFF"/>
              </w:rPr>
            </w:pPr>
            <w:r>
              <w:rPr>
                <w:rFonts w:ascii="宋体" w:hAnsi="宋体" w:cs="宋体" w:hint="eastAsia"/>
                <w:b/>
                <w:szCs w:val="21"/>
              </w:rPr>
              <w:t>近3个会计年度</w:t>
            </w:r>
          </w:p>
        </w:tc>
        <w:tc>
          <w:tcPr>
            <w:tcW w:w="992" w:type="dxa"/>
            <w:shd w:val="clear" w:color="auto" w:fill="BFBFBF"/>
            <w:vAlign w:val="center"/>
          </w:tcPr>
          <w:p w:rsidR="00C873CF">
            <w:pPr>
              <w:widowControl/>
              <w:jc w:val="center"/>
              <w:rPr>
                <w:rFonts w:ascii="宋体" w:hAnsi="宋体" w:cs="宋体"/>
                <w:b/>
                <w:szCs w:val="21"/>
              </w:rPr>
            </w:pPr>
            <w:r>
              <w:rPr>
                <w:rFonts w:ascii="宋体" w:hAnsi="宋体" w:cs="宋体" w:hint="eastAsia"/>
                <w:b/>
                <w:szCs w:val="21"/>
              </w:rPr>
              <w:t>近4个会计年度</w:t>
            </w:r>
          </w:p>
        </w:tc>
        <w:tc>
          <w:tcPr>
            <w:tcW w:w="992" w:type="dxa"/>
            <w:shd w:val="clear" w:color="auto" w:fill="BFBFBF"/>
            <w:vAlign w:val="center"/>
          </w:tcPr>
          <w:p w:rsidR="00C873CF">
            <w:pPr>
              <w:widowControl/>
              <w:jc w:val="center"/>
              <w:rPr>
                <w:rFonts w:ascii="宋体" w:hAnsi="宋体" w:cs="宋体"/>
                <w:b/>
                <w:color w:val="333333"/>
                <w:kern w:val="0"/>
                <w:szCs w:val="21"/>
                <w:highlight w:val="lightGray"/>
                <w:shd w:val="clear" w:color="auto" w:fill="FFFFFF"/>
              </w:rPr>
            </w:pPr>
            <w:r>
              <w:rPr>
                <w:rFonts w:ascii="宋体" w:hAnsi="宋体" w:cs="宋体" w:hint="eastAsia"/>
                <w:b/>
                <w:szCs w:val="21"/>
              </w:rPr>
              <w:t>近5个会计年度</w:t>
            </w:r>
          </w:p>
        </w:tc>
        <w:tc>
          <w:tcPr>
            <w:tcW w:w="1134" w:type="dxa"/>
            <w:shd w:val="clear" w:color="auto" w:fill="BFBFBF"/>
            <w:vAlign w:val="center"/>
          </w:tcPr>
          <w:p w:rsidR="00C873CF">
            <w:pPr>
              <w:widowControl/>
              <w:jc w:val="center"/>
              <w:rPr>
                <w:rFonts w:ascii="宋体" w:hAnsi="宋体" w:cs="宋体"/>
                <w:b/>
                <w:color w:val="333333"/>
                <w:kern w:val="0"/>
                <w:szCs w:val="21"/>
                <w:highlight w:val="lightGray"/>
                <w:shd w:val="clear" w:color="auto" w:fill="FFFFFF"/>
              </w:rPr>
            </w:pPr>
            <w:r>
              <w:rPr>
                <w:rFonts w:ascii="宋体" w:hAnsi="宋体" w:cs="宋体" w:hint="eastAsia"/>
                <w:b/>
                <w:szCs w:val="21"/>
              </w:rPr>
              <w:t>成立至今</w:t>
            </w:r>
          </w:p>
        </w:tc>
      </w:tr>
      <w:tr>
        <w:tblPrEx>
          <w:tblW w:w="9067" w:type="dxa"/>
          <w:jc w:val="center"/>
          <w:tblLayout w:type="fixed"/>
          <w:tblLook w:val="04A0"/>
        </w:tblPrEx>
        <w:trPr>
          <w:trHeight w:val="892"/>
          <w:jc w:val="center"/>
        </w:trPr>
        <w:tc>
          <w:tcPr>
            <w:tcW w:w="1271" w:type="dxa"/>
            <w:tcBorders>
              <w:top w:val="single" w:sz="4" w:space="0" w:color="auto"/>
              <w:left w:val="single" w:sz="4" w:space="0" w:color="auto"/>
              <w:bottom w:val="single" w:sz="4" w:space="0" w:color="auto"/>
              <w:right w:val="single" w:sz="4" w:space="0" w:color="auto"/>
            </w:tcBorders>
            <w:vAlign w:val="center"/>
          </w:tcPr>
          <w:p w:rsidR="00C873CF">
            <w:pPr>
              <w:snapToGrid w:val="0"/>
              <w:jc w:val="center"/>
              <w:rPr>
                <w:rFonts w:ascii="宋体" w:hAnsi="宋体"/>
                <w:szCs w:val="21"/>
                <w:shd w:val="clear" w:color="auto" w:fill="FFFFFF"/>
              </w:rPr>
            </w:pPr>
            <w:r>
              <w:rPr>
                <w:rFonts w:ascii="宋体" w:hAnsi="宋体" w:hint="eastAsia"/>
                <w:szCs w:val="21"/>
                <w:shd w:val="clear" w:color="auto" w:fill="FFFFFF"/>
              </w:rPr>
              <w:t>年化</w:t>
            </w:r>
            <w:r>
              <w:rPr>
                <w:rFonts w:ascii="宋体" w:hAnsi="宋体"/>
                <w:szCs w:val="21"/>
                <w:shd w:val="clear" w:color="auto" w:fill="FFFFFF"/>
              </w:rPr>
              <w:t>收益率</w:t>
            </w:r>
          </w:p>
        </w:tc>
        <w:tc>
          <w:tcPr>
            <w:tcW w:w="992" w:type="dxa"/>
            <w:tcBorders>
              <w:top w:val="single" w:sz="4" w:space="0" w:color="auto"/>
              <w:left w:val="single" w:sz="4" w:space="0" w:color="auto"/>
              <w:bottom w:val="single" w:sz="4" w:space="0" w:color="auto"/>
              <w:right w:val="single" w:sz="4" w:space="0" w:color="auto"/>
            </w:tcBorders>
            <w:vAlign w:val="center"/>
          </w:tcPr>
          <w:p w:rsidR="00C873CF">
            <w:pPr>
              <w:snapToGrid w:val="0"/>
              <w:jc w:val="center"/>
              <w:rPr>
                <w:rFonts w:ascii="宋体" w:hAnsi="宋体"/>
                <w:szCs w:val="21"/>
                <w:shd w:val="clear" w:color="auto" w:fill="FFFFFF"/>
              </w:rPr>
            </w:pPr>
            <w:r>
              <w:rPr>
                <w:rFonts w:ascii="宋体" w:eastAsia="宋体" w:hAnsi="宋体" w:cs="宋体"/>
                <w:b w:val="0"/>
                <w:i w:val="0"/>
                <w:color w:val="000000"/>
                <w:position w:val="-1"/>
                <w:u w:val="none"/>
              </w:rPr>
              <w:t>1.46%</w:t>
            </w:r>
          </w:p>
        </w:tc>
        <w:tc>
          <w:tcPr>
            <w:tcW w:w="993" w:type="dxa"/>
            <w:tcBorders>
              <w:top w:val="single" w:sz="4" w:space="0" w:color="auto"/>
              <w:left w:val="single" w:sz="4" w:space="0" w:color="auto"/>
              <w:bottom w:val="single" w:sz="4" w:space="0" w:color="auto"/>
              <w:right w:val="single" w:sz="4" w:space="0" w:color="auto"/>
            </w:tcBorders>
            <w:vAlign w:val="center"/>
          </w:tcPr>
          <w:p w:rsidR="00C873CF">
            <w:pPr>
              <w:snapToGrid w:val="0"/>
              <w:jc w:val="center"/>
              <w:rPr>
                <w:rFonts w:ascii="宋体" w:hAnsi="宋体"/>
                <w:szCs w:val="21"/>
                <w:shd w:val="clear" w:color="auto" w:fill="FFFFFF"/>
              </w:rPr>
            </w:pPr>
            <w:r>
              <w:rPr>
                <w:rFonts w:ascii="宋体" w:eastAsia="宋体" w:hAnsi="宋体" w:cs="宋体"/>
                <w:b w:val="0"/>
                <w:i w:val="0"/>
                <w:color w:val="000000"/>
                <w:position w:val="-1"/>
                <w:u w:val="none"/>
              </w:rPr>
              <w:t>3.55%</w:t>
            </w:r>
          </w:p>
        </w:tc>
        <w:tc>
          <w:tcPr>
            <w:tcW w:w="850" w:type="dxa"/>
            <w:tcBorders>
              <w:top w:val="single" w:sz="4" w:space="0" w:color="auto"/>
              <w:left w:val="single" w:sz="4" w:space="0" w:color="auto"/>
              <w:bottom w:val="single" w:sz="4" w:space="0" w:color="auto"/>
              <w:right w:val="single" w:sz="4" w:space="0" w:color="auto"/>
            </w:tcBorders>
            <w:vAlign w:val="center"/>
          </w:tcPr>
          <w:p w:rsidR="00C873CF">
            <w:pPr>
              <w:snapToGrid w:val="0"/>
              <w:jc w:val="center"/>
              <w:rPr>
                <w:rFonts w:ascii="宋体" w:hAnsi="宋体"/>
                <w:szCs w:val="21"/>
                <w:shd w:val="clear" w:color="auto" w:fill="FFFFFF"/>
              </w:rPr>
            </w:pPr>
            <w:r>
              <w:rPr>
                <w:rFonts w:ascii="宋体" w:eastAsia="宋体" w:hAnsi="宋体" w:cs="宋体"/>
                <w:b w:val="0"/>
                <w:i w:val="0"/>
                <w:color w:val="000000"/>
                <w:position w:val="-1"/>
                <w:u w:val="none"/>
              </w:rPr>
              <w:t>--</w:t>
            </w:r>
          </w:p>
        </w:tc>
        <w:tc>
          <w:tcPr>
            <w:tcW w:w="851" w:type="dxa"/>
            <w:tcBorders>
              <w:top w:val="single" w:sz="4" w:space="0" w:color="auto"/>
              <w:left w:val="single" w:sz="4" w:space="0" w:color="auto"/>
              <w:bottom w:val="single" w:sz="4" w:space="0" w:color="auto"/>
              <w:right w:val="single" w:sz="4" w:space="0" w:color="auto"/>
            </w:tcBorders>
            <w:vAlign w:val="center"/>
          </w:tcPr>
          <w:p w:rsidR="00C873CF">
            <w:pPr>
              <w:snapToGrid w:val="0"/>
              <w:jc w:val="center"/>
              <w:rPr>
                <w:rFonts w:ascii="宋体" w:hAnsi="宋体"/>
                <w:szCs w:val="21"/>
                <w:shd w:val="clear" w:color="auto" w:fill="FFFFFF"/>
              </w:rPr>
            </w:pPr>
            <w:r>
              <w:rPr>
                <w:rFonts w:ascii="宋体" w:eastAsia="宋体" w:hAnsi="宋体" w:cs="宋体"/>
                <w:b w:val="0"/>
                <w:i w:val="0"/>
                <w:color w:val="000000"/>
                <w:position w:val="-1"/>
                <w:u w:val="none"/>
              </w:rPr>
              <w:t>--</w:t>
            </w:r>
          </w:p>
        </w:tc>
        <w:tc>
          <w:tcPr>
            <w:tcW w:w="992" w:type="dxa"/>
            <w:tcBorders>
              <w:top w:val="single" w:sz="4" w:space="0" w:color="auto"/>
              <w:left w:val="single" w:sz="4" w:space="0" w:color="auto"/>
              <w:bottom w:val="single" w:sz="4" w:space="0" w:color="auto"/>
              <w:right w:val="single" w:sz="4" w:space="0" w:color="auto"/>
            </w:tcBorders>
            <w:vAlign w:val="center"/>
          </w:tcPr>
          <w:p w:rsidR="00C873CF">
            <w:pPr>
              <w:snapToGrid w:val="0"/>
              <w:jc w:val="center"/>
              <w:rPr>
                <w:rFonts w:ascii="宋体" w:hAnsi="宋体"/>
                <w:szCs w:val="21"/>
                <w:shd w:val="clear" w:color="auto" w:fill="FFFFFF"/>
              </w:rPr>
            </w:pPr>
            <w:r>
              <w:rPr>
                <w:rFonts w:ascii="宋体" w:eastAsia="宋体" w:hAnsi="宋体" w:cs="宋体"/>
                <w:b w:val="0"/>
                <w:i w:val="0"/>
                <w:color w:val="000000"/>
                <w:position w:val="-1"/>
                <w:u w:val="none"/>
              </w:rPr>
              <w:t>--</w:t>
            </w:r>
          </w:p>
        </w:tc>
        <w:tc>
          <w:tcPr>
            <w:tcW w:w="992" w:type="dxa"/>
            <w:tcBorders>
              <w:top w:val="single" w:sz="4" w:space="0" w:color="auto"/>
              <w:left w:val="single" w:sz="4" w:space="0" w:color="auto"/>
              <w:bottom w:val="single" w:sz="4" w:space="0" w:color="auto"/>
              <w:right w:val="single" w:sz="4" w:space="0" w:color="auto"/>
            </w:tcBorders>
            <w:vAlign w:val="center"/>
          </w:tcPr>
          <w:p w:rsidR="00C873CF">
            <w:pPr>
              <w:snapToGrid w:val="0"/>
              <w:jc w:val="center"/>
              <w:rPr>
                <w:rFonts w:ascii="宋体" w:hAnsi="宋体"/>
                <w:szCs w:val="21"/>
                <w:shd w:val="clear" w:color="auto" w:fill="FFFFFF"/>
              </w:rPr>
            </w:pPr>
            <w:r>
              <w:rPr>
                <w:rFonts w:ascii="宋体" w:eastAsia="宋体" w:hAnsi="宋体" w:cs="宋体"/>
                <w:b w:val="0"/>
                <w:i w:val="0"/>
                <w:color w:val="000000"/>
                <w:position w:val="-1"/>
                <w:u w:val="none"/>
              </w:rPr>
              <w:t>--</w:t>
            </w:r>
          </w:p>
        </w:tc>
        <w:tc>
          <w:tcPr>
            <w:tcW w:w="992" w:type="dxa"/>
            <w:tcBorders>
              <w:top w:val="single" w:sz="4" w:space="0" w:color="auto"/>
              <w:left w:val="single" w:sz="4" w:space="0" w:color="auto"/>
              <w:bottom w:val="single" w:sz="4" w:space="0" w:color="auto"/>
              <w:right w:val="single" w:sz="4" w:space="0" w:color="auto"/>
            </w:tcBorders>
            <w:vAlign w:val="center"/>
          </w:tcPr>
          <w:p w:rsidR="00C873CF">
            <w:pPr>
              <w:snapToGrid w:val="0"/>
              <w:jc w:val="center"/>
              <w:rPr>
                <w:rFonts w:ascii="宋体" w:hAnsi="宋体"/>
                <w:szCs w:val="21"/>
                <w:shd w:val="clear" w:color="auto" w:fill="FFFFFF"/>
              </w:rPr>
            </w:pPr>
            <w:r>
              <w:rPr>
                <w:rFonts w:ascii="宋体" w:eastAsia="宋体" w:hAnsi="宋体" w:cs="宋体"/>
                <w:b w:val="0"/>
                <w:i w:val="0"/>
                <w:color w:val="000000"/>
                <w:position w:val="-1"/>
                <w:u w:val="none"/>
              </w:rPr>
              <w:t>--</w:t>
            </w:r>
          </w:p>
        </w:tc>
        <w:tc>
          <w:tcPr>
            <w:tcW w:w="1134" w:type="dxa"/>
            <w:tcBorders>
              <w:top w:val="single" w:sz="4" w:space="0" w:color="auto"/>
              <w:left w:val="single" w:sz="4" w:space="0" w:color="auto"/>
              <w:bottom w:val="single" w:sz="4" w:space="0" w:color="auto"/>
              <w:right w:val="single" w:sz="4" w:space="0" w:color="auto"/>
            </w:tcBorders>
            <w:vAlign w:val="center"/>
          </w:tcPr>
          <w:p w:rsidR="00C873CF">
            <w:pPr>
              <w:snapToGrid w:val="0"/>
              <w:jc w:val="center"/>
              <w:rPr>
                <w:rFonts w:ascii="宋体" w:hAnsi="宋体"/>
                <w:szCs w:val="21"/>
                <w:shd w:val="clear" w:color="auto" w:fill="FFFFFF"/>
              </w:rPr>
            </w:pPr>
            <w:r>
              <w:rPr>
                <w:rFonts w:ascii="宋体" w:eastAsia="宋体" w:hAnsi="宋体" w:cs="宋体"/>
                <w:b w:val="0"/>
                <w:i w:val="0"/>
                <w:color w:val="000000"/>
                <w:position w:val="-1"/>
                <w:u w:val="none"/>
              </w:rPr>
              <w:t>3.78%</w:t>
            </w:r>
          </w:p>
        </w:tc>
      </w:tr>
    </w:tbl>
    <w:p w:rsidR="00C873CF">
      <w:r>
        <w:rPr>
          <w:rFonts w:hint="eastAsia"/>
        </w:rPr>
        <w:t>注：</w:t>
      </w:r>
    </w:p>
    <w:p w:rsidR="00C873CF">
      <w:pPr>
        <w:rPr>
          <w:rFonts w:ascii="宋体" w:hAnsi="宋体" w:cs="宋体"/>
        </w:rPr>
      </w:pPr>
      <w:r>
        <w:rPr>
          <w:rFonts w:ascii="宋体" w:hAnsi="宋体" w:cs="宋体" w:hint="eastAsia"/>
        </w:rPr>
        <w:t>1.本理财产品成立于</w:t>
      </w:r>
      <w:r>
        <w:rPr>
          <w:rFonts w:ascii="宋体" w:eastAsia="宋体" w:hAnsi="宋体" w:cs="宋体"/>
          <w:b w:val="0"/>
          <w:i w:val="0"/>
          <w:color w:val="000000"/>
          <w:position w:val="-1"/>
          <w:u w:val="none"/>
        </w:rPr>
        <w:t>2025年07月01日</w:t>
      </w:r>
      <w:r>
        <w:rPr>
          <w:rFonts w:ascii="宋体" w:hAnsi="宋体" w:cs="宋体" w:hint="eastAsia"/>
        </w:rPr>
        <w:t>，数据截至</w:t>
      </w:r>
      <w:r>
        <w:rPr>
          <w:rFonts w:ascii="宋体" w:eastAsia="宋体" w:hAnsi="宋体" w:cs="宋体"/>
          <w:b w:val="0"/>
          <w:i w:val="0"/>
          <w:color w:val="000000"/>
          <w:position w:val="-1"/>
          <w:u w:val="none"/>
        </w:rPr>
        <w:t>2026年03月31日</w:t>
      </w:r>
      <w:r>
        <w:rPr>
          <w:rFonts w:ascii="宋体" w:hAnsi="宋体" w:cs="宋体" w:hint="eastAsia"/>
        </w:rPr>
        <w:t>。本理财产品过往业绩由管理人招银理财有限责任公司基于理财产品净值，参照有关法律法规及理财行业通行规则制定的计算规则计算，过往业绩相关净值数据已经理财产品托管人复核。</w:t>
      </w:r>
      <w:r>
        <w:rPr>
          <w:rFonts w:ascii="宋体" w:hAnsi="宋体" w:cs="宋体" w:hint="eastAsia"/>
          <w:b/>
          <w:bCs/>
        </w:rPr>
        <w:t>理财产品过往业绩不代表其未来表现，不等于理财产品实际收益，投资须谨慎。</w:t>
      </w:r>
    </w:p>
    <w:p w:rsidR="00C873CF">
      <w:pPr>
        <w:rPr>
          <w:rFonts w:ascii="宋体" w:hAnsi="宋体" w:cs="宋体"/>
          <w:szCs w:val="21"/>
          <w:shd w:val="clear" w:color="auto" w:fill="FFFFFF"/>
        </w:rPr>
      </w:pPr>
      <w:r>
        <w:rPr>
          <w:rFonts w:ascii="宋体" w:hAnsi="宋体" w:cs="宋体" w:hint="eastAsia"/>
          <w:szCs w:val="21"/>
          <w:shd w:val="clear" w:color="auto" w:fill="FFFFFF"/>
        </w:rPr>
        <w:t>2.如为报净值的产品，则年化收益率指该产品对应区间内的区间年化收益率，赎回成本未计入，并非最终持有到期的收益率。</w:t>
      </w:r>
    </w:p>
    <w:p w:rsidR="00C873CF">
      <w:pPr>
        <w:rPr>
          <w:rFonts w:ascii="宋体" w:hAnsi="宋体" w:cs="宋体"/>
          <w:szCs w:val="21"/>
          <w:shd w:val="clear" w:color="auto" w:fill="FFFFFF"/>
        </w:rPr>
      </w:pPr>
      <w:r>
        <w:rPr>
          <w:rFonts w:ascii="宋体" w:hAnsi="宋体" w:cs="宋体" w:hint="eastAsia"/>
          <w:szCs w:val="21"/>
          <w:shd w:val="clear" w:color="auto" w:fill="FFFFFF"/>
        </w:rPr>
        <w:t>近N个月年化收益率（非现金产品）</w:t>
      </w:r>
    </w:p>
    <w:p w:rsidR="00C873CF">
      <w:pPr>
        <w:rPr>
          <w:rFonts w:hAnsi="Cambria Math"/>
          <w:sz w:val="24"/>
        </w:rPr>
      </w:pPr>
      <w:r>
        <w:rPr>
          <w:rFonts w:ascii="宋体" w:hint="eastAsia"/>
          <w:sz w:val="24"/>
        </w:rPr>
        <w:t>=</w:t>
      </w:r>
      <m:oMath>
        <m:f>
          <m:fPr>
            <m:ctrlPr>
              <w:rPr>
                <w:rFonts w:ascii="Cambria Math" w:hAnsi="Cambria Math" w:hint="eastAsia"/>
                <w:sz w:val="24"/>
              </w:rPr>
            </m:ctrlPr>
          </m:fPr>
          <m:num>
            <m:sSub>
              <m:sSubPr>
                <m:ctrlPr>
                  <w:rPr>
                    <w:rFonts w:ascii="Cambria Math" w:hAnsi="Cambria Math"/>
                    <w:sz w:val="24"/>
                  </w:rPr>
                </m:ctrlPr>
              </m:sSubPr>
              <m:e>
                <m:r>
                  <m:rPr>
                    <m:sty m:val="p"/>
                  </m:rPr>
                  <w:rPr>
                    <w:rFonts w:ascii="Cambria Math" w:hAnsi="Cambria Math" w:hint="eastAsia"/>
                    <w:sz w:val="24"/>
                  </w:rPr>
                  <m:t>最新的产品累计单位净值</m:t>
                </m:r>
              </m:e>
              <m:sub>
                <m:r>
                  <m:rPr>
                    <m:sty m:val="p"/>
                  </m:rPr>
                  <w:rPr>
                    <w:rFonts w:ascii="Cambria Math" w:hAnsi="Cambria Math"/>
                    <w:sz w:val="24"/>
                  </w:rPr>
                  <m:t>t1</m:t>
                </m:r>
              </m:sub>
            </m:sSub>
            <m:r>
              <m:rPr>
                <m:sty m:val="p"/>
              </m:rPr>
              <w:rPr>
                <w:rFonts w:ascii="Cambria Math" w:hAnsi="Cambria Math"/>
                <w:sz w:val="24"/>
              </w:rPr>
              <m:t>-</m:t>
            </m:r>
            <m:sSub>
              <m:sSubPr>
                <m:ctrlPr>
                  <w:rPr>
                    <w:rFonts w:ascii="Cambria Math" w:hAnsi="Cambria Math"/>
                    <w:sz w:val="24"/>
                  </w:rPr>
                </m:ctrlPr>
              </m:sSubPr>
              <m:e>
                <m:r>
                  <m:rPr>
                    <m:sty m:val="p"/>
                  </m:rPr>
                  <w:rPr>
                    <w:rFonts w:ascii="Cambria Math" w:hAnsi="Cambria Math"/>
                    <w:sz w:val="24"/>
                  </w:rPr>
                  <m:t>N</m:t>
                </m:r>
                <m:r>
                  <m:rPr>
                    <m:sty m:val="p"/>
                  </m:rPr>
                  <w:rPr>
                    <w:rFonts w:ascii="Cambria Math" w:hAnsi="Cambria Math" w:hint="eastAsia"/>
                    <w:sz w:val="24"/>
                  </w:rPr>
                  <m:t>月前对日的产品累计单位净值</m:t>
                </m:r>
              </m:e>
              <m:sub>
                <m:r>
                  <m:rPr>
                    <m:sty m:val="p"/>
                  </m:rPr>
                  <w:rPr>
                    <w:rFonts w:ascii="Cambria Math" w:hAnsi="Cambria Math"/>
                    <w:sz w:val="24"/>
                  </w:rPr>
                  <m:t>t2</m:t>
                </m:r>
              </m:sub>
            </m:sSub>
          </m:num>
          <m:den>
            <m:sSub>
              <m:sSubPr>
                <m:ctrlPr>
                  <w:rPr>
                    <w:rFonts w:ascii="Cambria Math" w:hAnsi="Cambria Math"/>
                    <w:sz w:val="24"/>
                  </w:rPr>
                </m:ctrlPr>
              </m:sSubPr>
              <m:e>
                <m:r>
                  <m:rPr>
                    <m:sty m:val="p"/>
                  </m:rPr>
                  <w:rPr>
                    <w:rFonts w:ascii="Cambria Math" w:hAnsi="Cambria Math"/>
                    <w:sz w:val="24"/>
                  </w:rPr>
                  <m:t>N</m:t>
                </m:r>
                <m:r>
                  <m:rPr>
                    <m:sty m:val="p"/>
                  </m:rPr>
                  <w:rPr>
                    <w:rFonts w:ascii="Cambria Math" w:hAnsi="Cambria Math" w:hint="eastAsia"/>
                    <w:sz w:val="24"/>
                  </w:rPr>
                  <m:t>月前对日的产品单位净值</m:t>
                </m:r>
              </m:e>
              <m:sub>
                <m:r>
                  <m:rPr>
                    <m:sty m:val="p"/>
                  </m:rPr>
                  <w:rPr>
                    <w:rFonts w:ascii="Cambria Math" w:hAnsi="Cambria Math"/>
                    <w:sz w:val="24"/>
                  </w:rPr>
                  <m:t>t2</m:t>
                </m:r>
              </m:sub>
            </m:sSub>
          </m:den>
        </m:f>
        <m:r>
          <m:rPr>
            <m:sty m:val="p"/>
          </m:rPr>
          <w:rPr>
            <w:rFonts w:ascii="Cambria Math" w:hAnsi="Cambria Math" w:cs="Cambria"/>
            <w:sz w:val="24"/>
          </w:rPr>
          <m:t>*</m:t>
        </m:r>
        <m:f>
          <m:fPr>
            <m:ctrlPr>
              <w:rPr>
                <w:rFonts w:ascii="Cambria Math" w:hAnsi="Cambria Math" w:hint="eastAsia"/>
                <w:sz w:val="24"/>
              </w:rPr>
            </m:ctrlPr>
          </m:fPr>
          <m:num>
            <m:r>
              <m:rPr>
                <m:sty m:val="p"/>
              </m:rPr>
              <w:rPr>
                <w:rFonts w:ascii="Cambria Math" w:hAnsi="Cambria Math" w:hint="eastAsia"/>
                <w:sz w:val="24"/>
              </w:rPr>
              <m:t>365</m:t>
            </m:r>
          </m:num>
          <m:den>
            <m:r>
              <m:rPr>
                <m:sty m:val="p"/>
              </m:rPr>
              <w:rPr>
                <w:rFonts w:ascii="Cambria Math" w:hAnsi="Cambria Math"/>
                <w:sz w:val="24"/>
              </w:rPr>
              <m:t>t1-t2</m:t>
            </m:r>
          </m:den>
        </m:f>
        <m:r>
          <m:rPr>
            <m:sty m:val="p"/>
          </m:rPr>
          <w:rPr>
            <w:rFonts w:ascii="Cambria Math" w:hAnsi="Cambria Math" w:cs="Cambria"/>
            <w:sz w:val="24"/>
          </w:rPr>
          <m:t>*</m:t>
        </m:r>
        <m:r>
          <m:rPr>
            <m:sty m:val="p"/>
          </m:rPr>
          <w:rPr>
            <w:rFonts w:ascii="Cambria Math" w:hAnsi="Cambria Math" w:hint="eastAsia"/>
            <w:sz w:val="24"/>
          </w:rPr>
          <m:t>100%</m:t>
        </m:r>
      </m:oMath>
    </w:p>
    <w:p w:rsidR="00C873CF">
      <w:pPr>
        <w:rPr>
          <w:rFonts w:hAnsi="Cambria Math"/>
          <w:sz w:val="24"/>
        </w:rPr>
      </w:pPr>
      <w:r>
        <w:rPr>
          <w:rFonts w:ascii="宋体" w:hAnsi="宋体" w:cs="宋体" w:hint="eastAsia"/>
          <w:szCs w:val="21"/>
          <w:shd w:val="clear" w:color="auto" w:fill="FFFFFF"/>
        </w:rPr>
        <w:t>t1为区间最后一个自然日，t2为N月前的最后一个自然日。</w:t>
      </w:r>
    </w:p>
    <w:p w:rsidR="00C873CF">
      <w:pPr>
        <w:pStyle w:val="ccb"/>
        <w:ind w:firstLine="0" w:firstLineChars="0"/>
        <w:jc w:val="left"/>
        <w:rPr>
          <w:rFonts w:ascii="宋体" w:eastAsia="宋体"/>
          <w:color w:val="auto"/>
          <w:sz w:val="21"/>
          <w:szCs w:val="21"/>
          <w:shd w:val="clear" w:color="auto" w:fill="FFFFFF"/>
        </w:rPr>
      </w:pPr>
      <w:r>
        <w:rPr>
          <w:rFonts w:ascii="宋体" w:eastAsia="宋体" w:hint="eastAsia"/>
          <w:color w:val="auto"/>
          <w:sz w:val="21"/>
          <w:szCs w:val="21"/>
          <w:shd w:val="clear" w:color="auto" w:fill="FFFFFF"/>
        </w:rPr>
        <w:t>近N个会计年度年化收益率（非现金产品）</w:t>
      </w:r>
    </w:p>
    <w:p w:rsidR="00C873CF">
      <w:pPr>
        <w:rPr>
          <w:sz w:val="24"/>
          <w:szCs w:val="24"/>
        </w:rPr>
      </w:pPr>
      <w:r>
        <w:rPr>
          <w:rFonts w:ascii="宋体" w:hint="eastAsia"/>
        </w:rPr>
        <w:t>=</w:t>
      </w:r>
      <m:oMath>
        <m:f>
          <m:fPr>
            <m:ctrlPr>
              <w:rPr>
                <w:rFonts w:ascii="Cambria Math" w:hAnsi="Cambria Math" w:hint="eastAsia"/>
                <w:sz w:val="24"/>
                <w:szCs w:val="24"/>
              </w:rPr>
            </m:ctrlPr>
          </m:fPr>
          <m:num>
            <m:sSub>
              <m:sSubPr>
                <m:ctrlPr>
                  <w:rPr>
                    <w:rFonts w:ascii="Cambria Math" w:hAnsi="Cambria Math"/>
                    <w:sz w:val="24"/>
                    <w:szCs w:val="24"/>
                  </w:rPr>
                </m:ctrlPr>
              </m:sSubPr>
              <m:e>
                <m:r>
                  <m:rPr>
                    <m:sty m:val="p"/>
                  </m:rPr>
                  <w:rPr>
                    <w:rFonts w:ascii="Cambria Math" w:hAnsi="Cambria Math"/>
                    <w:sz w:val="24"/>
                    <w:szCs w:val="24"/>
                  </w:rPr>
                  <m:t>XX</m:t>
                </m:r>
                <m:r>
                  <m:rPr>
                    <m:sty m:val="p"/>
                  </m:rPr>
                  <w:rPr>
                    <w:rFonts w:ascii="Cambria Math" w:hAnsi="Cambria Math" w:hint="eastAsia"/>
                    <w:sz w:val="24"/>
                    <w:szCs w:val="24"/>
                  </w:rPr>
                  <m:t>年</m:t>
                </m:r>
                <m:r>
                  <m:rPr>
                    <m:sty m:val="p"/>
                  </m:rPr>
                  <w:rPr>
                    <w:rFonts w:ascii="Cambria Math" w:hAnsi="Cambria Math"/>
                    <w:sz w:val="24"/>
                    <w:szCs w:val="24"/>
                  </w:rPr>
                  <m:t>12</m:t>
                </m:r>
                <m:r>
                  <m:rPr>
                    <m:sty m:val="p"/>
                  </m:rPr>
                  <w:rPr>
                    <w:rFonts w:ascii="Cambria Math" w:hAnsi="Cambria Math" w:hint="eastAsia"/>
                    <w:sz w:val="24"/>
                    <w:szCs w:val="24"/>
                  </w:rPr>
                  <m:t>月</m:t>
                </m:r>
                <m:r>
                  <m:rPr>
                    <m:sty m:val="p"/>
                  </m:rPr>
                  <w:rPr>
                    <w:rFonts w:ascii="Cambria Math" w:hAnsi="Cambria Math"/>
                    <w:sz w:val="24"/>
                    <w:szCs w:val="24"/>
                  </w:rPr>
                  <m:t>31</m:t>
                </m:r>
                <m:r>
                  <m:rPr>
                    <m:sty m:val="p"/>
                  </m:rPr>
                  <w:rPr>
                    <w:rFonts w:ascii="Cambria Math" w:hAnsi="Cambria Math" w:hint="eastAsia"/>
                    <w:sz w:val="24"/>
                    <w:szCs w:val="24"/>
                  </w:rPr>
                  <m:t>日产品累计单位净值</m:t>
                </m:r>
              </m:e>
              <m:sub>
                <m:r>
                  <m:rPr>
                    <m:sty m:val="p"/>
                  </m:rPr>
                  <w:rPr>
                    <w:rFonts w:ascii="Cambria Math" w:hAnsi="Cambria Math"/>
                    <w:sz w:val="24"/>
                    <w:szCs w:val="24"/>
                  </w:rPr>
                  <m:t>t1</m:t>
                </m:r>
              </m:sub>
            </m:sSub>
            <m:r>
              <m:rPr>
                <m:sty m:val="p"/>
              </m:rP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rPr>
                  <m:t>XX</m:t>
                </m:r>
                <m:r>
                  <m:rPr>
                    <m:sty m:val="p"/>
                  </m:rPr>
                  <w:rPr>
                    <w:rFonts w:ascii="Cambria Math" w:hAnsi="Cambria Math" w:hint="eastAsia"/>
                    <w:sz w:val="24"/>
                    <w:szCs w:val="24"/>
                  </w:rPr>
                  <m:t>年</m:t>
                </m:r>
                <m:r>
                  <m:rPr>
                    <m:sty m:val="p"/>
                  </m:rPr>
                  <w:rPr>
                    <w:rFonts w:ascii="Cambria Math" w:hAnsi="Cambria Math"/>
                    <w:sz w:val="24"/>
                    <w:szCs w:val="24"/>
                  </w:rPr>
                  <m:t>1</m:t>
                </m:r>
                <m:r>
                  <m:rPr>
                    <m:sty m:val="p"/>
                  </m:rPr>
                  <w:rPr>
                    <w:rFonts w:ascii="Cambria Math" w:hAnsi="Cambria Math" w:hint="eastAsia"/>
                    <w:sz w:val="24"/>
                    <w:szCs w:val="24"/>
                  </w:rPr>
                  <m:t>月</m:t>
                </m:r>
                <m:r>
                  <m:rPr>
                    <m:sty m:val="p"/>
                  </m:rPr>
                  <w:rPr>
                    <w:rFonts w:ascii="Cambria Math" w:hAnsi="Cambria Math"/>
                    <w:sz w:val="24"/>
                    <w:szCs w:val="24"/>
                  </w:rPr>
                  <m:t>1</m:t>
                </m:r>
                <m:r>
                  <m:rPr>
                    <m:sty m:val="p"/>
                  </m:rPr>
                  <w:rPr>
                    <w:rFonts w:ascii="Cambria Math" w:hAnsi="Cambria Math" w:hint="eastAsia"/>
                    <w:sz w:val="24"/>
                    <w:szCs w:val="24"/>
                  </w:rPr>
                  <m:t>日产品累计单位净值</m:t>
                </m:r>
              </m:e>
              <m:sub>
                <m:r>
                  <m:rPr>
                    <m:sty m:val="p"/>
                  </m:rPr>
                  <w:rPr>
                    <w:rFonts w:ascii="Cambria Math" w:hAnsi="Cambria Math"/>
                    <w:sz w:val="24"/>
                    <w:szCs w:val="24"/>
                  </w:rPr>
                  <m:t>t2</m:t>
                </m:r>
              </m:sub>
            </m:sSub>
          </m:num>
          <m:den>
            <m:sSub>
              <m:sSubPr>
                <m:ctrlPr>
                  <w:rPr>
                    <w:rFonts w:ascii="Cambria Math" w:hAnsi="Cambria Math"/>
                    <w:sz w:val="24"/>
                    <w:szCs w:val="24"/>
                  </w:rPr>
                </m:ctrlPr>
              </m:sSubPr>
              <m:e>
                <m:r>
                  <m:rPr>
                    <m:sty m:val="p"/>
                  </m:rPr>
                  <w:rPr>
                    <w:rFonts w:ascii="Cambria Math" w:hAnsi="Cambria Math"/>
                    <w:sz w:val="24"/>
                    <w:szCs w:val="24"/>
                  </w:rPr>
                  <m:t>XX</m:t>
                </m:r>
                <m:r>
                  <m:rPr>
                    <m:sty m:val="p"/>
                  </m:rPr>
                  <w:rPr>
                    <w:rFonts w:ascii="Cambria Math" w:hAnsi="Cambria Math" w:hint="eastAsia"/>
                    <w:sz w:val="24"/>
                    <w:szCs w:val="24"/>
                  </w:rPr>
                  <m:t>年</m:t>
                </m:r>
                <m:r>
                  <m:rPr>
                    <m:sty m:val="p"/>
                  </m:rPr>
                  <w:rPr>
                    <w:rFonts w:ascii="Cambria Math" w:hAnsi="Cambria Math"/>
                    <w:sz w:val="24"/>
                    <w:szCs w:val="24"/>
                  </w:rPr>
                  <m:t>1</m:t>
                </m:r>
                <m:r>
                  <m:rPr>
                    <m:sty m:val="p"/>
                  </m:rPr>
                  <w:rPr>
                    <w:rFonts w:ascii="Cambria Math" w:hAnsi="Cambria Math" w:hint="eastAsia"/>
                    <w:sz w:val="24"/>
                    <w:szCs w:val="24"/>
                  </w:rPr>
                  <m:t>月</m:t>
                </m:r>
                <m:r>
                  <m:rPr>
                    <m:sty m:val="p"/>
                  </m:rPr>
                  <w:rPr>
                    <w:rFonts w:ascii="Cambria Math" w:hAnsi="Cambria Math"/>
                    <w:sz w:val="24"/>
                    <w:szCs w:val="24"/>
                  </w:rPr>
                  <m:t>1</m:t>
                </m:r>
                <m:r>
                  <m:rPr>
                    <m:sty m:val="p"/>
                  </m:rPr>
                  <w:rPr>
                    <w:rFonts w:ascii="Cambria Math" w:hAnsi="Cambria Math" w:hint="eastAsia"/>
                    <w:sz w:val="24"/>
                    <w:szCs w:val="24"/>
                  </w:rPr>
                  <m:t>日产品单位净值</m:t>
                </m:r>
              </m:e>
              <m:sub>
                <m:r>
                  <m:rPr>
                    <m:sty m:val="p"/>
                  </m:rPr>
                  <w:rPr>
                    <w:rFonts w:ascii="Cambria Math" w:hAnsi="Cambria Math"/>
                    <w:sz w:val="24"/>
                    <w:szCs w:val="24"/>
                  </w:rPr>
                  <m:t>t2</m:t>
                </m:r>
              </m:sub>
            </m:sSub>
          </m:den>
        </m:f>
        <m:r>
          <m:rPr>
            <m:sty m:val="p"/>
          </m:rPr>
          <w:rPr>
            <w:rFonts w:ascii="Cambria Math" w:hAnsi="Cambria Math" w:cs="Cambria"/>
            <w:sz w:val="24"/>
            <w:szCs w:val="24"/>
          </w:rPr>
          <m:t>*</m:t>
        </m:r>
        <m:f>
          <m:fPr>
            <m:ctrlPr>
              <w:rPr>
                <w:rFonts w:ascii="Cambria Math" w:hAnsi="Cambria Math" w:hint="eastAsia"/>
                <w:sz w:val="24"/>
                <w:szCs w:val="24"/>
              </w:rPr>
            </m:ctrlPr>
          </m:fPr>
          <m:num>
            <m:r>
              <m:rPr>
                <m:sty m:val="p"/>
              </m:rPr>
              <w:rPr>
                <w:rFonts w:ascii="Cambria Math" w:hAnsi="Cambria Math" w:hint="eastAsia"/>
                <w:sz w:val="24"/>
                <w:szCs w:val="24"/>
              </w:rPr>
              <m:t>365</m:t>
            </m:r>
          </m:num>
          <m:den>
            <m:r>
              <m:rPr>
                <m:sty m:val="p"/>
              </m:rPr>
              <w:rPr>
                <w:rFonts w:ascii="Cambria Math" w:hAnsi="Cambria Math"/>
                <w:sz w:val="24"/>
                <w:szCs w:val="24"/>
              </w:rPr>
              <m:t>N</m:t>
            </m:r>
          </m:den>
        </m:f>
        <m:r>
          <m:rPr>
            <m:sty m:val="p"/>
          </m:rPr>
          <w:rPr>
            <w:rFonts w:ascii="Cambria Math" w:hAnsi="Cambria Math" w:cs="Cambria"/>
            <w:sz w:val="24"/>
            <w:szCs w:val="24"/>
          </w:rPr>
          <m:t>*</m:t>
        </m:r>
        <m:r>
          <m:rPr>
            <m:sty m:val="p"/>
          </m:rPr>
          <w:rPr>
            <w:rFonts w:ascii="Cambria Math" w:hAnsi="Cambria Math" w:hint="eastAsia"/>
            <w:sz w:val="24"/>
            <w:szCs w:val="24"/>
          </w:rPr>
          <m:t>100%</m:t>
        </m:r>
      </m:oMath>
    </w:p>
    <w:p w:rsidR="00C873CF">
      <w:pPr>
        <w:rPr>
          <w:rFonts w:ascii="宋体" w:hAnsi="宋体" w:cs="宋体"/>
          <w:szCs w:val="21"/>
          <w:shd w:val="clear" w:color="auto" w:fill="FFFFFF"/>
        </w:rPr>
      </w:pPr>
      <w:r>
        <w:rPr>
          <w:rFonts w:ascii="宋体" w:hAnsi="宋体" w:cs="宋体" w:hint="eastAsia"/>
          <w:szCs w:val="21"/>
          <w:shd w:val="clear" w:color="auto" w:fill="FFFFFF"/>
        </w:rPr>
        <w:t>t1为XX年12月31日，t2为XX年1月1日，N为XX年1月1日到XX年12月31日的自然天数。</w:t>
      </w:r>
    </w:p>
    <w:p w:rsidR="00C873CF">
      <w:pPr>
        <w:pStyle w:val="ccb"/>
        <w:ind w:firstLine="0" w:firstLineChars="0"/>
        <w:jc w:val="left"/>
        <w:rPr>
          <w:rFonts w:ascii="宋体" w:eastAsia="宋体"/>
          <w:color w:val="auto"/>
          <w:sz w:val="21"/>
          <w:szCs w:val="21"/>
          <w:shd w:val="clear" w:color="auto" w:fill="FFFFFF"/>
        </w:rPr>
      </w:pPr>
      <w:r>
        <w:rPr>
          <w:rFonts w:ascii="宋体" w:eastAsia="宋体" w:hint="eastAsia"/>
          <w:color w:val="auto"/>
          <w:sz w:val="21"/>
          <w:szCs w:val="21"/>
          <w:shd w:val="clear" w:color="auto" w:fill="FFFFFF"/>
        </w:rPr>
        <w:t>成立至今年化收益率（非现金产品）</w:t>
      </w:r>
    </w:p>
    <w:p w:rsidR="00C873CF">
      <w:pPr>
        <w:tabs>
          <w:tab w:val="left" w:pos="1260"/>
        </w:tabs>
        <w:spacing w:line="360" w:lineRule="auto"/>
        <w:rPr>
          <w:rFonts w:hAnsi="Cambria Math"/>
          <w:sz w:val="24"/>
        </w:rPr>
      </w:pPr>
      <w:r>
        <w:rPr>
          <w:rFonts w:ascii="宋体" w:hAnsi="宋体" w:hint="eastAsia"/>
          <w:sz w:val="24"/>
        </w:rPr>
        <w:t>=</w:t>
      </w:r>
      <m:oMath>
        <m:f>
          <m:fPr>
            <m:ctrlPr>
              <w:rPr>
                <w:rFonts w:ascii="Cambria Math" w:hAnsi="Cambria Math" w:hint="eastAsia"/>
                <w:sz w:val="24"/>
              </w:rPr>
            </m:ctrlPr>
          </m:fPr>
          <m:num>
            <m:sSub>
              <m:sSubPr>
                <m:ctrlPr>
                  <w:rPr>
                    <w:rFonts w:ascii="Cambria Math" w:hAnsi="Cambria Math" w:hint="eastAsia"/>
                    <w:sz w:val="24"/>
                  </w:rPr>
                </m:ctrlPr>
              </m:sSubPr>
              <m:e>
                <m:r>
                  <m:rPr>
                    <m:sty m:val="p"/>
                  </m:rPr>
                  <w:rPr>
                    <w:rFonts w:ascii="Cambria Math" w:hAnsi="Cambria Math" w:hint="eastAsia"/>
                    <w:sz w:val="24"/>
                  </w:rPr>
                  <m:t>最新的产品累计单位净值</m:t>
                </m:r>
              </m:e>
              <m:sub>
                <m:r>
                  <m:rPr>
                    <m:sty m:val="p"/>
                  </m:rPr>
                  <w:rPr>
                    <w:rFonts w:ascii="Cambria Math" w:hAnsi="Cambria Math"/>
                    <w:sz w:val="24"/>
                  </w:rPr>
                  <m:t>t</m:t>
                </m:r>
              </m:sub>
            </m:sSub>
            <m:r>
              <m:rPr>
                <m:sty m:val="p"/>
              </m:rPr>
              <w:rPr>
                <w:rFonts w:ascii="Cambria Math" w:hAnsi="Cambria Math"/>
                <w:sz w:val="24"/>
              </w:rPr>
              <m:t>-</m:t>
            </m:r>
            <m:r>
              <w:rPr>
                <w:rFonts w:ascii="Cambria Math" w:hAnsi="Cambria Math"/>
                <w:sz w:val="24"/>
              </w:rPr>
              <m:t>1</m:t>
            </m:r>
          </m:num>
          <m:den>
            <m:r>
              <m:rPr>
                <m:sty m:val="p"/>
              </m:rPr>
              <w:rPr>
                <w:rFonts w:ascii="Cambria Math" w:hAnsi="Cambria Math"/>
                <w:sz w:val="24"/>
              </w:rPr>
              <m:t>1</m:t>
            </m:r>
          </m:den>
        </m:f>
        <m:r>
          <m:rPr>
            <m:sty m:val="p"/>
          </m:rPr>
          <w:rPr>
            <w:rFonts w:ascii="Cambria Math" w:hAnsi="Cambria Math" w:cs="Cambria"/>
            <w:sz w:val="24"/>
          </w:rPr>
          <m:t>*</m:t>
        </m:r>
        <m:f>
          <m:fPr>
            <m:ctrlPr>
              <w:rPr>
                <w:rFonts w:ascii="Cambria Math" w:hAnsi="Cambria Math" w:hint="eastAsia"/>
                <w:sz w:val="24"/>
              </w:rPr>
            </m:ctrlPr>
          </m:fPr>
          <m:num>
            <m:r>
              <m:rPr>
                <m:sty m:val="p"/>
              </m:rPr>
              <w:rPr>
                <w:rFonts w:ascii="Cambria Math" w:hAnsi="Cambria Math" w:hint="eastAsia"/>
                <w:sz w:val="24"/>
              </w:rPr>
              <m:t>365</m:t>
            </m:r>
          </m:num>
          <m:den>
            <m:r>
              <m:rPr>
                <m:sty m:val="p"/>
              </m:rPr>
              <w:rPr>
                <w:rFonts w:ascii="Cambria Math" w:hAnsi="Cambria Math"/>
                <w:sz w:val="24"/>
              </w:rPr>
              <m:t>t-</m:t>
            </m:r>
            <m:r>
              <m:rPr>
                <m:sty m:val="p"/>
              </m:rPr>
              <w:rPr>
                <w:rFonts w:ascii="Cambria Math" w:hAnsi="Cambria Math" w:hint="eastAsia"/>
                <w:sz w:val="24"/>
              </w:rPr>
              <m:t>成立日期</m:t>
            </m:r>
          </m:den>
        </m:f>
        <m:r>
          <m:rPr>
            <m:sty m:val="p"/>
          </m:rPr>
          <w:rPr>
            <w:rFonts w:ascii="Cambria Math" w:hAnsi="Cambria Math" w:cs="Cambria"/>
            <w:sz w:val="24"/>
          </w:rPr>
          <m:t>*</m:t>
        </m:r>
        <m:r>
          <m:rPr>
            <m:sty m:val="p"/>
          </m:rPr>
          <w:rPr>
            <w:rFonts w:ascii="Cambria Math" w:hAnsi="Cambria Math" w:hint="eastAsia"/>
            <w:sz w:val="24"/>
          </w:rPr>
          <m:t>100%</m:t>
        </m:r>
      </m:oMath>
    </w:p>
    <w:p w:rsidR="00C873CF">
      <w:pPr>
        <w:rPr>
          <w:rFonts w:ascii="宋体" w:hAnsi="宋体"/>
          <w:szCs w:val="21"/>
          <w:shd w:val="clear" w:color="auto" w:fill="FFFFFF"/>
        </w:rPr>
      </w:pPr>
      <w:r>
        <w:rPr>
          <w:rFonts w:ascii="宋体" w:hAnsi="宋体" w:cs="宋体" w:hint="eastAsia"/>
          <w:szCs w:val="21"/>
          <w:shd w:val="clear" w:color="auto" w:fill="FFFFFF"/>
        </w:rPr>
        <w:t>t为区间最后一个自然日，理财产品成立日净值按照理财产品认购净值1.0000计算。</w:t>
      </w:r>
    </w:p>
    <w:p w:rsidR="00C873CF">
      <w:pPr>
        <w:pStyle w:val="Heading1"/>
        <w:spacing w:line="360" w:lineRule="auto"/>
        <w:jc w:val="center"/>
        <w:rPr>
          <w:rFonts w:ascii="宋体" w:hAnsi="宋体"/>
          <w:sz w:val="24"/>
          <w:szCs w:val="24"/>
          <w:shd w:val="clear" w:color="auto" w:fill="FFFFFF"/>
        </w:rPr>
      </w:pPr>
      <w:bookmarkStart w:id="17" w:name="_Toc256000008"/>
      <w:r>
        <w:rPr>
          <w:rFonts w:ascii="宋体" w:hAnsi="宋体" w:hint="eastAsia"/>
          <w:sz w:val="24"/>
          <w:szCs w:val="24"/>
          <w:shd w:val="clear" w:color="auto" w:fill="FFFFFF"/>
        </w:rPr>
        <w:t>§4 管理人报告</w:t>
      </w:r>
      <w:bookmarkEnd w:id="17"/>
      <w:bookmarkStart w:id="18" w:name="_Toc12382923"/>
      <w:bookmarkEnd w:id="18"/>
    </w:p>
    <w:p w:rsidR="00C873CF">
      <w:pPr>
        <w:pStyle w:val="Heading2"/>
        <w:rPr>
          <w:sz w:val="24"/>
          <w:szCs w:val="24"/>
          <w:shd w:val="clear" w:color="auto" w:fill="FFFFFF"/>
        </w:rPr>
      </w:pPr>
      <w:bookmarkStart w:id="19" w:name="_Toc256000009"/>
      <w:r>
        <w:rPr>
          <w:rFonts w:hint="eastAsia"/>
          <w:sz w:val="24"/>
          <w:szCs w:val="24"/>
          <w:shd w:val="clear" w:color="auto" w:fill="FFFFFF"/>
        </w:rPr>
        <w:t>4.1 管理人对报告期内理财产品的投资策略说明</w:t>
      </w:r>
      <w:bookmarkEnd w:id="19"/>
    </w:p>
    <w:p w:rsidR="00C873CF">
      <w:pPr>
        <w:pStyle w:val="Heading3"/>
        <w:rPr>
          <w:sz w:val="24"/>
          <w:szCs w:val="24"/>
          <w:shd w:val="clear" w:color="auto" w:fill="FFFFFF"/>
        </w:rPr>
      </w:pPr>
      <w:r>
        <w:rPr>
          <w:rFonts w:hint="eastAsia"/>
          <w:sz w:val="24"/>
          <w:szCs w:val="24"/>
          <w:shd w:val="clear" w:color="auto" w:fill="FFFFFF"/>
        </w:rPr>
        <w:t>4.1.1 报告期内理财产品投资策略和运作分析</w:t>
      </w:r>
    </w:p>
    <w:p w:rsidR="00C873CF">
      <w:pPr>
        <w:ind w:firstLine="420" w:firstLineChars="200"/>
        <w:rPr>
          <w:rFonts w:ascii="宋体" w:hAnsi="宋体"/>
          <w:sz w:val="24"/>
          <w:szCs w:val="24"/>
          <w:shd w:val="clear" w:color="auto" w:fill="FFFFFF"/>
        </w:rPr>
      </w:pPr>
      <w:bookmarkStart w:id="20" w:name="运作分析"/>
      <w:r>
        <w:rPr>
          <w:rFonts w:ascii="宋体" w:hAnsi="宋体"/>
          <w:sz w:val="24"/>
          <w:szCs w:val="24"/>
          <w:shd w:val="clear" w:color="auto" w:fill="FFFFFF"/>
        </w:rPr>
        <w:t>2026年一季度，中国债券市场整体延续震荡区间走势，呈现长短分化、信用强于利率的突出特征。利率债短端在资金面持续宽松和避险情绪推动下震荡下行，长端和超长端则因权益市场波动、地缘政治冲突、通胀预期反复等影响波动更为显著。具体而言，1月初，股市“春季躁动”行情继续，带动资金分流，债市短暂承压，10年国债收益率一度上行至1.90%附近。随着央行结构性降息和流动性持续宽松，债券收益率阶段性回落。2月，全球地缘冲突明显升级，加剧市场避险需求，10年国债收益率回落至1.80%左右。3月，宏观经济韧性显现，通胀预期因国际油价上涨而升温；外部美联储降息预期延后，叠加债市供给预期增加，超长端30年国债收益率小幅回升至2.3%附近，收益率曲线陡峭化进一步加剧，短端利率仍下行。</w:t>
      </w:r>
    </w:p>
    <w:p w:rsidR="00C873CF">
      <w:pPr>
        <w:ind w:firstLine="420" w:firstLineChars="200"/>
        <w:rPr>
          <w:rFonts w:ascii="宋体" w:hAnsi="宋体"/>
          <w:sz w:val="24"/>
          <w:szCs w:val="24"/>
          <w:shd w:val="clear" w:color="auto" w:fill="FFFFFF"/>
        </w:rPr>
      </w:pPr>
      <w:r>
        <w:rPr>
          <w:rFonts w:ascii="宋体" w:hAnsi="宋体"/>
          <w:sz w:val="24"/>
          <w:szCs w:val="24"/>
          <w:shd w:val="clear" w:color="auto" w:fill="FFFFFF"/>
        </w:rPr>
        <w:t>报告期内，产品恪守稳健投资理念，在市场收益率波动期间优化久期结构，通过杠杆操作及骑乘交易等多种策略实现产品平稳运行。在严格把控信用风险的前提下，投资高性价比的票息资产以增厚产品静态收益水平。同时整体加存款、货币基金等低波资产配置，降低市场波动对产品净值的影响。</w:t>
      </w:r>
      <w:bookmarkEnd w:id="20"/>
    </w:p>
    <w:p w:rsidR="00C873CF">
      <w:pPr>
        <w:ind w:firstLine="420" w:firstLineChars="200"/>
        <w:rPr>
          <w:rFonts w:ascii="宋体" w:hAnsi="宋体"/>
          <w:sz w:val="24"/>
          <w:shd w:val="clear" w:color="auto" w:fill="FFFFFF"/>
        </w:rPr>
      </w:pPr>
      <w:r>
        <w:rPr>
          <w:rFonts w:ascii="宋体" w:eastAsia="宋体" w:hAnsi="宋体" w:cs="宋体"/>
          <w:b w:val="0"/>
          <w:i w:val="0"/>
          <w:color w:val="000000"/>
          <w:position w:val="-1"/>
          <w:sz w:val="24"/>
          <w:u w:val="none"/>
        </w:rPr>
        <w:t xml:space="preserve"> </w:t>
      </w:r>
    </w:p>
    <w:p w:rsidR="00C873CF">
      <w:pPr>
        <w:pStyle w:val="Heading3"/>
        <w:rPr>
          <w:sz w:val="24"/>
          <w:szCs w:val="24"/>
          <w:highlight w:val="yellow"/>
          <w:shd w:val="clear" w:color="auto" w:fill="FFFFFF"/>
        </w:rPr>
      </w:pPr>
      <w:r>
        <w:rPr>
          <w:rFonts w:hint="eastAsia"/>
          <w:sz w:val="24"/>
          <w:szCs w:val="24"/>
          <w:shd w:val="clear" w:color="auto" w:fill="FFFFFF"/>
        </w:rPr>
        <w:t>4.1.2 报告期内理财产品流动性风险分析</w:t>
      </w:r>
    </w:p>
    <w:p w:rsidR="00C873CF">
      <w:pPr>
        <w:ind w:firstLine="420" w:firstLineChars="200"/>
        <w:rPr>
          <w:sz w:val="24"/>
          <w:shd w:val="clear" w:color="auto" w:fill="FFFFFF"/>
        </w:rPr>
      </w:pPr>
      <w:r>
        <w:rPr>
          <w:rFonts w:hint="eastAsia"/>
          <w:sz w:val="24"/>
          <w:shd w:val="clear" w:color="auto" w:fill="FFFFFF"/>
        </w:rPr>
        <w:t>流动性风险是指产品在履行与金融负债有关的义务时遇到资金短缺的风险。本产品的流动性风险一方面来自理财份额持有人可在约定的开放日或到期日提出赎回其持有的理财份额，另一方面来自于投资品种所处的交易市场不活跃可能带来的资产变现困难或产品持仓资产在市场出现剧烈波动的情况下难以以合理价格变现的风险。</w:t>
      </w:r>
    </w:p>
    <w:p w:rsidR="00C873CF">
      <w:pPr>
        <w:ind w:firstLine="420" w:firstLineChars="200"/>
        <w:rPr>
          <w:sz w:val="24"/>
          <w:shd w:val="clear" w:color="auto" w:fill="FFFFFF"/>
        </w:rPr>
      </w:pPr>
      <w:r>
        <w:rPr>
          <w:rFonts w:hint="eastAsia"/>
          <w:sz w:val="24"/>
          <w:shd w:val="clear" w:color="auto" w:fill="FFFFFF"/>
        </w:rPr>
        <w:t>本理财产品管理人通过合理安排产品的投资品种和期限结构、限制资产持仓集中度、监控组合资金头寸等方式管理产品的流动性风险，确保本产品资产的变现能力与投资者赎回需求的匹配。报告期内，本产品未发生重大流动性风险事件。</w:t>
      </w:r>
    </w:p>
    <w:p w:rsidR="00C873CF">
      <w:pPr>
        <w:pStyle w:val="Heading3"/>
        <w:rPr>
          <w:sz w:val="24"/>
          <w:szCs w:val="24"/>
          <w:shd w:val="clear" w:color="auto" w:fill="FFFFFF"/>
        </w:rPr>
      </w:pPr>
      <w:r>
        <w:rPr>
          <w:rFonts w:hint="eastAsia"/>
          <w:sz w:val="24"/>
          <w:szCs w:val="24"/>
          <w:shd w:val="clear" w:color="auto" w:fill="FFFFFF"/>
        </w:rPr>
        <w:t>4.1.</w:t>
      </w:r>
      <w:r>
        <w:rPr>
          <w:sz w:val="24"/>
          <w:szCs w:val="24"/>
          <w:shd w:val="clear" w:color="auto" w:fill="FFFFFF"/>
        </w:rPr>
        <w:t>3</w:t>
      </w:r>
      <w:r>
        <w:rPr>
          <w:rFonts w:hint="eastAsia"/>
          <w:sz w:val="24"/>
          <w:szCs w:val="24"/>
          <w:shd w:val="clear" w:color="auto" w:fill="FFFFFF"/>
        </w:rPr>
        <w:t xml:space="preserve"> 管理人对未来的简要展望</w:t>
      </w:r>
    </w:p>
    <w:p w:rsidR="00C873CF">
      <w:pPr>
        <w:ind w:firstLine="420" w:firstLineChars="200"/>
        <w:rPr>
          <w:rFonts w:ascii="宋体" w:hAnsi="宋体"/>
          <w:sz w:val="24"/>
          <w:szCs w:val="24"/>
          <w:shd w:val="clear" w:color="auto" w:fill="FFFFFF"/>
        </w:rPr>
      </w:pPr>
      <w:bookmarkStart w:id="21" w:name="简要展望"/>
      <w:r>
        <w:rPr>
          <w:rFonts w:ascii="宋体" w:hAnsi="宋体"/>
          <w:sz w:val="24"/>
          <w:szCs w:val="24"/>
          <w:shd w:val="clear" w:color="auto" w:fill="FFFFFF"/>
        </w:rPr>
        <w:t>预计二季度宏观经济温和复苏态势延续，但内在结构分化加剧。受出口和基建支持，名义GDP持续改善，但实际增速或边际放缓。地产投资尚未显著企稳，制造业投资温和增长，消费温和回升。债券供给压力有所抬升，政府债和二永债等供给放量。利率债收益率在区间内震荡，“上有顶、下有底”的格局仍将持续。中短端资产受资金面支撑，风险相对较低；长端及超长端则受通胀和供给压力更大。信用债预计供需格局改善，中短久期高票息品种相对优势较为明显。</w:t>
      </w:r>
    </w:p>
    <w:p w:rsidR="00C873CF">
      <w:pPr>
        <w:ind w:firstLine="420" w:firstLineChars="200"/>
        <w:rPr>
          <w:rFonts w:ascii="宋体" w:hAnsi="宋体"/>
          <w:sz w:val="24"/>
          <w:szCs w:val="24"/>
          <w:shd w:val="clear" w:color="auto" w:fill="FFFFFF"/>
        </w:rPr>
      </w:pPr>
      <w:r>
        <w:rPr>
          <w:rFonts w:ascii="宋体" w:hAnsi="宋体"/>
          <w:sz w:val="24"/>
          <w:szCs w:val="24"/>
          <w:shd w:val="clear" w:color="auto" w:fill="FFFFFF"/>
        </w:rPr>
        <w:t>投资策略方面，首选中短端信用债，以票息为主，稳守底仓收益。精选流动性好的票息资产。长端利率债建议严控久期风险。待收益率阶段高位时再行波段配置，不追多。信用利差压缩后，弱资质主体需谨慎控制信用风险，关注个券基本面变化及行业分化。动态管理久期，视市场波动灵活调整，优先保收益稳定。结合税期、政府债集中缴款阶段性波动及时做好流动性安排。利用市场震荡窗口适度参与高频、趋势及波段操作，侧重结构性交易机会。增加存款、回购等低波资产配置，降低市场波动对产品净值的影响。</w:t>
      </w:r>
      <w:bookmarkEnd w:id="21"/>
    </w:p>
    <w:p w:rsidR="00C873CF">
      <w:pPr>
        <w:pStyle w:val="Heading2"/>
        <w:rPr>
          <w:sz w:val="24"/>
          <w:szCs w:val="24"/>
          <w:shd w:val="clear" w:color="auto" w:fill="FFFFFF"/>
        </w:rPr>
      </w:pPr>
      <w:bookmarkStart w:id="22" w:name="_Toc256000010"/>
      <w:r>
        <w:rPr>
          <w:rFonts w:hint="eastAsia"/>
          <w:sz w:val="24"/>
          <w:szCs w:val="24"/>
          <w:shd w:val="clear" w:color="auto" w:fill="FFFFFF"/>
        </w:rPr>
        <w:t>4.2 理财产品报告期内关联交易发生情况</w:t>
      </w:r>
      <w:bookmarkEnd w:id="22"/>
    </w:p>
    <w:p>
      <w:pPr>
        <w:rPr>
          <w:rFonts w:ascii="宋体" w:hAnsi="宋体"/>
          <w:sz w:val="24"/>
          <w:szCs w:val="24"/>
          <w:lang w:val="zh-CN"/>
        </w:rPr>
      </w:pPr>
      <w:r>
        <w:rPr>
          <w:rFonts w:ascii="宋体" w:eastAsia="宋体" w:hAnsi="宋体" w:cs="宋体"/>
          <w:b w:val="0"/>
          <w:color w:val="000000"/>
          <w:sz w:val="24"/>
        </w:rPr>
        <w:t>4.2</w:t>
      </w:r>
      <w:r>
        <w:rPr>
          <w:rFonts w:ascii="宋体" w:hAnsi="宋体" w:hint="eastAsia"/>
          <w:sz w:val="24"/>
          <w:szCs w:val="24"/>
        </w:rPr>
        <w:t>.</w:t>
      </w:r>
      <w:r>
        <w:rPr>
          <w:rFonts w:ascii="宋体" w:hAnsi="宋体" w:hint="eastAsia"/>
          <w:sz w:val="24"/>
          <w:szCs w:val="24"/>
          <w:lang w:val="zh-CN"/>
        </w:rPr>
        <w:t>1本产品投资于关联方发行的证券，投资金额总计</w:t>
      </w:r>
      <w:r>
        <w:rPr>
          <w:rFonts w:ascii="宋体" w:eastAsia="宋体" w:hAnsi="宋体" w:cs="宋体"/>
          <w:b w:val="0"/>
          <w:color w:val="000000"/>
          <w:sz w:val="24"/>
        </w:rPr>
        <w:t>52,673,005.39</w:t>
      </w:r>
      <w:r>
        <w:rPr>
          <w:rFonts w:ascii="宋体" w:hAnsi="宋体" w:hint="eastAsia"/>
          <w:sz w:val="24"/>
          <w:szCs w:val="24"/>
          <w:lang w:val="zh-CN"/>
        </w:rPr>
        <w:t>元；</w:t>
      </w:r>
    </w:p>
    <w:p>
      <w:pPr>
        <w:rPr>
          <w:rFonts w:ascii="宋体" w:hAnsi="宋体"/>
          <w:sz w:val="24"/>
          <w:szCs w:val="24"/>
          <w:lang w:val="zh-CN"/>
        </w:rPr>
      </w:pPr>
      <w:r>
        <w:rPr>
          <w:rFonts w:ascii="宋体" w:eastAsia="宋体" w:hAnsi="宋体" w:cs="宋体"/>
          <w:b w:val="0"/>
          <w:color w:val="000000"/>
          <w:sz w:val="24"/>
        </w:rPr>
        <w:t>4.2</w:t>
      </w:r>
      <w:r>
        <w:rPr>
          <w:rFonts w:ascii="宋体" w:hAnsi="宋体" w:hint="eastAsia"/>
          <w:sz w:val="24"/>
          <w:szCs w:val="24"/>
        </w:rPr>
        <w:t>.</w:t>
      </w:r>
      <w:r>
        <w:rPr>
          <w:rFonts w:ascii="宋体" w:hAnsi="宋体" w:hint="eastAsia"/>
          <w:sz w:val="24"/>
          <w:szCs w:val="24"/>
          <w:lang w:val="zh-CN"/>
        </w:rPr>
        <w:t>2本产品投资于关联方承销的证券，投资金额总计</w:t>
      </w:r>
      <w:r>
        <w:rPr>
          <w:rFonts w:ascii="宋体" w:eastAsia="宋体" w:hAnsi="宋体" w:cs="宋体"/>
          <w:b w:val="0"/>
          <w:color w:val="000000"/>
          <w:sz w:val="24"/>
        </w:rPr>
        <w:t>0.00</w:t>
      </w:r>
      <w:r>
        <w:rPr>
          <w:rFonts w:ascii="宋体" w:hAnsi="宋体" w:hint="eastAsia"/>
          <w:sz w:val="24"/>
          <w:szCs w:val="24"/>
          <w:lang w:val="zh-CN"/>
        </w:rPr>
        <w:t>元；</w:t>
      </w:r>
    </w:p>
    <w:p>
      <w:pPr>
        <w:rPr>
          <w:rFonts w:ascii="宋体" w:hAnsi="宋体"/>
          <w:sz w:val="24"/>
          <w:szCs w:val="24"/>
          <w:lang w:val="zh-CN"/>
        </w:rPr>
      </w:pPr>
      <w:r>
        <w:rPr>
          <w:rFonts w:ascii="宋体" w:eastAsia="宋体" w:hAnsi="宋体" w:cs="宋体"/>
          <w:b w:val="0"/>
          <w:color w:val="000000"/>
          <w:sz w:val="24"/>
        </w:rPr>
        <w:t>4.2</w:t>
      </w:r>
      <w:r>
        <w:rPr>
          <w:rFonts w:ascii="宋体" w:hAnsi="宋体" w:hint="eastAsia"/>
          <w:sz w:val="24"/>
          <w:szCs w:val="24"/>
        </w:rPr>
        <w:t>.</w:t>
      </w:r>
      <w:r>
        <w:rPr>
          <w:rFonts w:ascii="宋体" w:hAnsi="宋体"/>
          <w:sz w:val="24"/>
          <w:szCs w:val="24"/>
          <w:lang w:val="zh-CN"/>
        </w:rPr>
        <w:t>3</w:t>
      </w:r>
      <w:r>
        <w:rPr>
          <w:rFonts w:ascii="宋体" w:hAnsi="宋体" w:hint="eastAsia"/>
          <w:sz w:val="24"/>
          <w:szCs w:val="24"/>
          <w:lang w:val="zh-CN"/>
        </w:rPr>
        <w:t>本产品与关联方发生的服务类关联交易</w:t>
      </w:r>
    </w:p>
    <w:p>
      <w:pPr>
        <w:ind w:firstLine="420" w:firstLineChars="200"/>
        <w:rPr>
          <w:rFonts w:ascii="宋体" w:hAnsi="宋体"/>
          <w:sz w:val="24"/>
          <w:szCs w:val="24"/>
          <w:lang w:val="zh-CN"/>
        </w:rPr>
      </w:pPr>
      <w:r>
        <w:rPr>
          <w:rFonts w:ascii="宋体" w:eastAsia="宋体" w:hAnsi="宋体" w:cs="宋体"/>
          <w:b w:val="0"/>
          <w:color w:val="000000"/>
          <w:sz w:val="24"/>
        </w:rPr>
        <w:t>报告期内，本产品向台州银行股份有限公司实付销售服务费用18,981.38元；本产品向招商银行股份有限公司实付托管费用29,496.35元。</w:t>
      </w:r>
    </w:p>
    <w:p>
      <w:pPr>
        <w:rPr>
          <w:rFonts w:ascii="宋体" w:hAnsi="宋体"/>
          <w:sz w:val="24"/>
          <w:szCs w:val="24"/>
          <w:lang w:val="zh-CN"/>
        </w:rPr>
      </w:pPr>
      <w:r>
        <w:rPr>
          <w:rFonts w:ascii="宋体" w:eastAsia="宋体" w:hAnsi="宋体" w:cs="宋体"/>
          <w:b w:val="0"/>
          <w:color w:val="000000"/>
          <w:sz w:val="24"/>
        </w:rPr>
        <w:t>4.2</w:t>
      </w:r>
      <w:r>
        <w:rPr>
          <w:rFonts w:ascii="宋体" w:hAnsi="宋体" w:hint="eastAsia"/>
          <w:sz w:val="24"/>
          <w:szCs w:val="24"/>
        </w:rPr>
        <w:t>.</w:t>
      </w:r>
      <w:r>
        <w:rPr>
          <w:rFonts w:ascii="宋体" w:hAnsi="宋体" w:hint="eastAsia"/>
          <w:sz w:val="24"/>
          <w:szCs w:val="24"/>
          <w:lang w:val="zh-CN"/>
        </w:rPr>
        <w:t>4本产品发生的其他类关联交易，</w:t>
      </w:r>
      <w:r>
        <w:rPr>
          <w:rFonts w:ascii="宋体" w:hAnsi="宋体" w:hint="eastAsia"/>
          <w:sz w:val="24"/>
          <w:szCs w:val="24"/>
        </w:rPr>
        <w:t>合计关联交易金额为</w:t>
      </w:r>
      <w:r>
        <w:rPr>
          <w:rFonts w:ascii="宋体" w:eastAsia="宋体" w:hAnsi="宋体" w:cs="宋体"/>
          <w:b w:val="0"/>
          <w:color w:val="000000"/>
          <w:sz w:val="24"/>
        </w:rPr>
        <w:t>40,885,104.45</w:t>
      </w:r>
      <w:r>
        <w:rPr>
          <w:rFonts w:ascii="宋体" w:hAnsi="宋体" w:hint="eastAsia"/>
          <w:sz w:val="24"/>
          <w:szCs w:val="24"/>
          <w:lang w:val="zh-CN"/>
        </w:rPr>
        <w:t>元。</w:t>
      </w:r>
    </w:p>
    <w:p>
      <w:pPr>
        <w:rPr>
          <w:rFonts w:ascii="宋体" w:hAnsi="宋体"/>
          <w:sz w:val="24"/>
          <w:szCs w:val="24"/>
          <w:lang w:val="zh-CN"/>
        </w:rPr>
      </w:pPr>
      <w:r>
        <w:rPr>
          <w:rFonts w:ascii="宋体" w:eastAsia="宋体" w:hAnsi="宋体" w:cs="宋体"/>
          <w:b w:val="0"/>
          <w:color w:val="000000"/>
          <w:sz w:val="24"/>
        </w:rPr>
        <w:t>4.2</w:t>
      </w:r>
      <w:r>
        <w:rPr>
          <w:rFonts w:ascii="宋体" w:hAnsi="宋体" w:hint="eastAsia"/>
          <w:sz w:val="24"/>
          <w:szCs w:val="24"/>
        </w:rPr>
        <w:t>.</w:t>
      </w:r>
      <w:r>
        <w:rPr>
          <w:rFonts w:ascii="宋体" w:hAnsi="宋体" w:hint="eastAsia"/>
          <w:sz w:val="24"/>
          <w:szCs w:val="24"/>
          <w:lang w:val="zh-CN"/>
        </w:rPr>
        <w:t>5本产品报告期内重大关联交易发生情况</w:t>
      </w:r>
    </w:p>
    <w:p>
      <w:pPr>
        <w:rPr>
          <w:rFonts w:ascii="宋体" w:hAnsi="宋体"/>
          <w:sz w:val="24"/>
          <w:szCs w:val="24"/>
          <w:lang w:val="zh-CN"/>
        </w:rPr>
      </w:pPr>
      <w:r>
        <w:rPr>
          <w:rFonts w:ascii="宋体" w:hAnsi="宋体"/>
          <w:sz w:val="24"/>
          <w:szCs w:val="24"/>
          <w:lang w:val="zh-CN"/>
        </w:rPr>
        <w:tab/>
      </w:r>
      <w:r>
        <w:rPr>
          <w:rFonts w:ascii="宋体" w:eastAsia="宋体" w:hAnsi="宋体" w:cs="宋体"/>
          <w:b w:val="0"/>
          <w:color w:val="000000"/>
          <w:sz w:val="24"/>
        </w:rPr>
        <w:t>报告期内，本产品未发生重大关联交易。</w:t>
      </w:r>
    </w:p>
    <w:p w:rsidR="00C873CF" w:rsidRPr="008674DD" w:rsidP="008674DD">
      <w:pPr>
        <w:pStyle w:val="Heading1"/>
        <w:spacing w:line="360" w:lineRule="auto"/>
        <w:jc w:val="center"/>
        <w:rPr>
          <w:rFonts w:ascii="宋体" w:hAnsi="宋体"/>
          <w:sz w:val="24"/>
          <w:szCs w:val="24"/>
          <w:shd w:val="clear" w:color="auto" w:fill="FFFFFF"/>
        </w:rPr>
      </w:pPr>
      <w:bookmarkStart w:id="24" w:name="_Toc256000011"/>
      <w:r>
        <w:rPr>
          <w:rFonts w:ascii="宋体" w:hAnsi="宋体" w:hint="eastAsia"/>
          <w:sz w:val="24"/>
          <w:szCs w:val="24"/>
          <w:shd w:val="clear" w:color="auto" w:fill="FFFFFF"/>
        </w:rPr>
        <w:t>§</w:t>
      </w:r>
      <w:r>
        <w:rPr>
          <w:rFonts w:ascii="宋体" w:hAnsi="宋体"/>
          <w:sz w:val="24"/>
          <w:szCs w:val="24"/>
          <w:shd w:val="clear" w:color="auto" w:fill="FFFFFF"/>
        </w:rPr>
        <w:t>5</w:t>
      </w:r>
      <w:r>
        <w:rPr>
          <w:rFonts w:ascii="宋体" w:hAnsi="宋体" w:hint="eastAsia"/>
          <w:sz w:val="24"/>
          <w:szCs w:val="24"/>
          <w:shd w:val="clear" w:color="auto" w:fill="FFFFFF"/>
        </w:rPr>
        <w:t xml:space="preserve"> 投资组合报告</w:t>
      </w:r>
      <w:bookmarkEnd w:id="24"/>
      <w:bookmarkStart w:id="25" w:name="_Toc12382928"/>
      <w:bookmarkStart w:id="26" w:name="章节5"/>
    </w:p>
    <w:p w:rsidR="00BC02A8">
      <w:pPr>
        <w:pStyle w:val="Heading2"/>
        <w:rPr>
          <w:b w:val="0"/>
          <w:bCs/>
          <w:sz w:val="24"/>
          <w:szCs w:val="24"/>
          <w:shd w:val="clear" w:color="auto" w:fill="FFFFFF"/>
        </w:rPr>
      </w:pPr>
      <w:bookmarkStart w:id="27" w:name="_Toc256000012"/>
      <w:r>
        <w:rPr>
          <w:b/>
          <w:i w:val="0"/>
          <w:color w:val="000000"/>
          <w:position w:val="-1"/>
          <w:sz w:val="24"/>
          <w:u w:val="none"/>
        </w:rPr>
        <w:t>5.1 期末理财产品资产组合情况</w:t>
      </w:r>
      <w:bookmarkEnd w:id="27"/>
    </w:p>
    <w:tbl>
      <w:tblPr>
        <w:tblStyle w:val="TableNormal"/>
        <w:tblW w:w="9330"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9"/>
        <w:gridCol w:w="1729"/>
        <w:gridCol w:w="2149"/>
        <w:gridCol w:w="1417"/>
        <w:gridCol w:w="2149"/>
        <w:gridCol w:w="1417"/>
      </w:tblGrid>
      <w:tr>
        <w:tblPrEx>
          <w:tblW w:w="9330"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692"/>
        </w:trPr>
        <w:tc>
          <w:tcPr>
            <w:tcW w:w="469"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rsidR="00BC02A8">
            <w:pPr>
              <w:jc w:val="center"/>
              <w:rPr>
                <w:rFonts w:ascii="宋体" w:hAnsi="宋体"/>
                <w:b/>
              </w:rPr>
            </w:pPr>
            <w:r>
              <w:rPr>
                <w:rFonts w:ascii="宋体" w:hAnsi="宋体" w:hint="eastAsia"/>
                <w:b/>
              </w:rPr>
              <w:t>序号</w:t>
            </w:r>
          </w:p>
        </w:tc>
        <w:tc>
          <w:tcPr>
            <w:tcW w:w="1729" w:type="dxa"/>
            <w:vMerge w:val="restart"/>
            <w:tcBorders>
              <w:top w:val="single" w:sz="4" w:space="0" w:color="auto"/>
              <w:left w:val="nil"/>
              <w:bottom w:val="single" w:sz="4" w:space="0" w:color="auto"/>
              <w:right w:val="single" w:sz="4" w:space="0" w:color="auto"/>
            </w:tcBorders>
            <w:shd w:val="clear" w:color="auto" w:fill="D9D9D9"/>
            <w:vAlign w:val="center"/>
          </w:tcPr>
          <w:p w:rsidR="00BC02A8">
            <w:pPr>
              <w:jc w:val="center"/>
              <w:rPr>
                <w:rFonts w:ascii="宋体" w:hAnsi="宋体"/>
                <w:b/>
              </w:rPr>
            </w:pPr>
            <w:r>
              <w:rPr>
                <w:rFonts w:ascii="宋体" w:hAnsi="宋体" w:hint="eastAsia"/>
                <w:b/>
              </w:rPr>
              <w:t>项目</w:t>
            </w:r>
          </w:p>
        </w:tc>
        <w:tc>
          <w:tcPr>
            <w:tcW w:w="3566" w:type="dxa"/>
            <w:gridSpan w:val="2"/>
            <w:tcBorders>
              <w:top w:val="single" w:sz="4" w:space="0" w:color="auto"/>
              <w:left w:val="nil"/>
              <w:bottom w:val="single" w:sz="4" w:space="0" w:color="auto"/>
              <w:right w:val="single" w:sz="4" w:space="0" w:color="auto"/>
            </w:tcBorders>
            <w:shd w:val="clear" w:color="auto" w:fill="D9D9D9"/>
            <w:vAlign w:val="center"/>
          </w:tcPr>
          <w:p w:rsidR="00BC02A8">
            <w:pPr>
              <w:jc w:val="center"/>
              <w:rPr>
                <w:rFonts w:ascii="宋体" w:hAnsi="宋体"/>
                <w:b/>
              </w:rPr>
            </w:pPr>
            <w:r>
              <w:rPr>
                <w:rFonts w:ascii="宋体" w:hAnsi="宋体" w:hint="eastAsia"/>
                <w:b/>
              </w:rPr>
              <w:t>穿透前</w:t>
            </w:r>
          </w:p>
        </w:tc>
        <w:tc>
          <w:tcPr>
            <w:tcW w:w="3566" w:type="dxa"/>
            <w:gridSpan w:val="2"/>
            <w:tcBorders>
              <w:top w:val="single" w:sz="4" w:space="0" w:color="auto"/>
              <w:left w:val="nil"/>
              <w:bottom w:val="single" w:sz="4" w:space="0" w:color="auto"/>
              <w:right w:val="single" w:sz="4" w:space="0" w:color="auto"/>
            </w:tcBorders>
            <w:shd w:val="clear" w:color="auto" w:fill="D9D9D9"/>
            <w:vAlign w:val="center"/>
          </w:tcPr>
          <w:p w:rsidR="00BC02A8">
            <w:pPr>
              <w:jc w:val="center"/>
              <w:rPr>
                <w:rFonts w:ascii="宋体" w:hAnsi="宋体"/>
                <w:b/>
              </w:rPr>
            </w:pPr>
            <w:r>
              <w:rPr>
                <w:rFonts w:ascii="宋体" w:hAnsi="宋体" w:hint="eastAsia"/>
                <w:b/>
              </w:rPr>
              <w:t>穿透后</w:t>
            </w:r>
          </w:p>
        </w:tc>
      </w:tr>
      <w:tr>
        <w:tblPrEx>
          <w:tblW w:w="9330" w:type="dxa"/>
          <w:tblInd w:w="-7" w:type="dxa"/>
          <w:tblLayout w:type="fixed"/>
          <w:tblLook w:val="04A0"/>
        </w:tblPrEx>
        <w:trPr>
          <w:trHeight w:val="692"/>
        </w:trPr>
        <w:tc>
          <w:tcPr>
            <w:tcW w:w="469" w:type="dxa"/>
            <w:vMerge/>
            <w:tcBorders>
              <w:top w:val="single" w:sz="4" w:space="0" w:color="auto"/>
              <w:left w:val="single" w:sz="4" w:space="0" w:color="auto"/>
              <w:bottom w:val="single" w:sz="4" w:space="0" w:color="auto"/>
              <w:right w:val="single" w:sz="4" w:space="0" w:color="auto"/>
            </w:tcBorders>
            <w:vAlign w:val="center"/>
          </w:tcPr>
          <w:p w:rsidR="00BC02A8">
            <w:pPr>
              <w:widowControl/>
              <w:jc w:val="left"/>
              <w:rPr>
                <w:rFonts w:ascii="宋体" w:hAnsi="宋体"/>
                <w:b/>
              </w:rPr>
            </w:pPr>
          </w:p>
        </w:tc>
        <w:tc>
          <w:tcPr>
            <w:tcW w:w="1729" w:type="dxa"/>
            <w:vMerge/>
            <w:tcBorders>
              <w:top w:val="single" w:sz="4" w:space="0" w:color="auto"/>
              <w:left w:val="nil"/>
              <w:bottom w:val="single" w:sz="4" w:space="0" w:color="auto"/>
              <w:right w:val="single" w:sz="4" w:space="0" w:color="auto"/>
            </w:tcBorders>
            <w:vAlign w:val="center"/>
          </w:tcPr>
          <w:p w:rsidR="00BC02A8">
            <w:pPr>
              <w:widowControl/>
              <w:jc w:val="left"/>
              <w:rPr>
                <w:rFonts w:ascii="宋体" w:hAnsi="宋体"/>
                <w:b/>
              </w:rPr>
            </w:pPr>
          </w:p>
        </w:tc>
        <w:tc>
          <w:tcPr>
            <w:tcW w:w="2149" w:type="dxa"/>
            <w:tcBorders>
              <w:top w:val="single" w:sz="4" w:space="0" w:color="auto"/>
              <w:left w:val="nil"/>
              <w:bottom w:val="single" w:sz="4" w:space="0" w:color="auto"/>
              <w:right w:val="single" w:sz="4" w:space="0" w:color="auto"/>
            </w:tcBorders>
            <w:shd w:val="clear" w:color="auto" w:fill="D9D9D9"/>
            <w:vAlign w:val="center"/>
          </w:tcPr>
          <w:p w:rsidR="00BC02A8">
            <w:pPr>
              <w:jc w:val="center"/>
              <w:rPr>
                <w:rFonts w:ascii="宋体" w:hAnsi="宋体"/>
                <w:b/>
              </w:rPr>
            </w:pPr>
            <w:r>
              <w:rPr>
                <w:rFonts w:ascii="宋体" w:hAnsi="宋体" w:hint="eastAsia"/>
                <w:b/>
              </w:rPr>
              <w:t>资产余额</w:t>
            </w:r>
          </w:p>
          <w:p w:rsidR="00BC02A8">
            <w:pPr>
              <w:jc w:val="center"/>
              <w:rPr>
                <w:rFonts w:ascii="宋体" w:hAnsi="宋体"/>
                <w:b/>
              </w:rPr>
            </w:pPr>
            <w:r>
              <w:rPr>
                <w:rFonts w:ascii="宋体" w:eastAsia="宋体" w:hAnsi="宋体" w:cs="宋体"/>
                <w:b/>
                <w:i w:val="0"/>
                <w:color w:val="000000"/>
                <w:position w:val="-1"/>
                <w:u w:val="none"/>
              </w:rPr>
              <w:t>（单位：元）</w:t>
            </w:r>
          </w:p>
        </w:tc>
        <w:tc>
          <w:tcPr>
            <w:tcW w:w="1417" w:type="dxa"/>
            <w:tcBorders>
              <w:top w:val="single" w:sz="4" w:space="0" w:color="auto"/>
              <w:left w:val="nil"/>
              <w:bottom w:val="single" w:sz="4" w:space="0" w:color="auto"/>
              <w:right w:val="single" w:sz="4" w:space="0" w:color="auto"/>
            </w:tcBorders>
            <w:shd w:val="clear" w:color="auto" w:fill="D9D9D9"/>
            <w:vAlign w:val="center"/>
          </w:tcPr>
          <w:p w:rsidR="00BC02A8">
            <w:pPr>
              <w:jc w:val="center"/>
              <w:rPr>
                <w:rFonts w:ascii="宋体" w:hAnsi="宋体"/>
                <w:b/>
              </w:rPr>
            </w:pPr>
            <w:r>
              <w:rPr>
                <w:rFonts w:ascii="宋体" w:hAnsi="宋体" w:hint="eastAsia"/>
                <w:b/>
              </w:rPr>
              <w:t>占产品总资产的比例（%）</w:t>
            </w:r>
          </w:p>
        </w:tc>
        <w:tc>
          <w:tcPr>
            <w:tcW w:w="2149" w:type="dxa"/>
            <w:tcBorders>
              <w:top w:val="single" w:sz="4" w:space="0" w:color="auto"/>
              <w:left w:val="nil"/>
              <w:bottom w:val="single" w:sz="4" w:space="0" w:color="auto"/>
              <w:right w:val="single" w:sz="4" w:space="0" w:color="auto"/>
            </w:tcBorders>
            <w:shd w:val="clear" w:color="auto" w:fill="D9D9D9"/>
            <w:vAlign w:val="center"/>
          </w:tcPr>
          <w:p w:rsidR="00BC02A8">
            <w:pPr>
              <w:jc w:val="center"/>
              <w:rPr>
                <w:rFonts w:ascii="宋体" w:hAnsi="宋体"/>
                <w:b/>
              </w:rPr>
            </w:pPr>
            <w:r>
              <w:rPr>
                <w:rFonts w:ascii="宋体" w:hAnsi="宋体" w:hint="eastAsia"/>
                <w:b/>
              </w:rPr>
              <w:t>资产余额</w:t>
            </w:r>
          </w:p>
          <w:p w:rsidR="00BC02A8">
            <w:pPr>
              <w:jc w:val="center"/>
              <w:rPr>
                <w:rFonts w:ascii="宋体" w:hAnsi="宋体"/>
                <w:b/>
              </w:rPr>
            </w:pPr>
            <w:r>
              <w:rPr>
                <w:rFonts w:ascii="宋体" w:eastAsia="宋体" w:hAnsi="宋体" w:cs="宋体"/>
                <w:b/>
                <w:i w:val="0"/>
                <w:color w:val="000000"/>
                <w:position w:val="-1"/>
                <w:u w:val="none"/>
              </w:rPr>
              <w:t>（单位：元）</w:t>
            </w:r>
          </w:p>
        </w:tc>
        <w:tc>
          <w:tcPr>
            <w:tcW w:w="1417" w:type="dxa"/>
            <w:tcBorders>
              <w:top w:val="single" w:sz="4" w:space="0" w:color="auto"/>
              <w:left w:val="nil"/>
              <w:bottom w:val="single" w:sz="4" w:space="0" w:color="auto"/>
              <w:right w:val="single" w:sz="4" w:space="0" w:color="auto"/>
            </w:tcBorders>
            <w:shd w:val="clear" w:color="auto" w:fill="D9D9D9"/>
            <w:vAlign w:val="center"/>
          </w:tcPr>
          <w:p w:rsidR="00BC02A8">
            <w:pPr>
              <w:jc w:val="center"/>
              <w:rPr>
                <w:rFonts w:ascii="宋体" w:hAnsi="宋体"/>
                <w:b/>
              </w:rPr>
            </w:pPr>
            <w:r>
              <w:rPr>
                <w:rFonts w:ascii="宋体" w:hAnsi="宋体" w:hint="eastAsia"/>
                <w:b/>
              </w:rPr>
              <w:t>占产品总资产的比例（%）</w:t>
            </w:r>
          </w:p>
        </w:tc>
      </w:tr>
      <w:tr>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BC02A8">
            <w:pPr>
              <w:jc w:val="center"/>
              <w:rPr>
                <w:rFonts w:ascii="宋体" w:hAnsi="宋体"/>
              </w:rPr>
            </w:pPr>
            <w:r>
              <w:rPr>
                <w:rFonts w:ascii="宋体" w:hAnsi="宋体" w:hint="eastAsia"/>
              </w:rPr>
              <w:t>1</w:t>
            </w:r>
          </w:p>
        </w:tc>
        <w:tc>
          <w:tcPr>
            <w:tcW w:w="1729" w:type="dxa"/>
            <w:tcBorders>
              <w:top w:val="single" w:sz="4" w:space="0" w:color="auto"/>
              <w:left w:val="nil"/>
              <w:bottom w:val="single" w:sz="4" w:space="0" w:color="auto"/>
              <w:right w:val="single" w:sz="4" w:space="0" w:color="auto"/>
            </w:tcBorders>
            <w:vAlign w:val="center"/>
          </w:tcPr>
          <w:p w:rsidR="00BC02A8">
            <w:pPr>
              <w:spacing w:line="360" w:lineRule="auto"/>
              <w:jc w:val="center"/>
              <w:rPr>
                <w:rFonts w:ascii="宋体" w:hAnsi="宋体"/>
              </w:rPr>
            </w:pPr>
            <w:r>
              <w:rPr>
                <w:rFonts w:ascii="宋体" w:hAnsi="宋体" w:hint="eastAsia"/>
              </w:rPr>
              <w:t>现金及银行存款</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52,531,955.67</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10.21</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262,944,383.58</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51.12</w:t>
            </w:r>
          </w:p>
        </w:tc>
      </w:tr>
      <w:tr>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BC02A8">
            <w:pPr>
              <w:jc w:val="center"/>
              <w:rPr>
                <w:rFonts w:ascii="宋体" w:hAnsi="宋体"/>
              </w:rPr>
            </w:pPr>
            <w:r>
              <w:rPr>
                <w:rFonts w:ascii="宋体" w:hAnsi="宋体" w:hint="eastAsia"/>
              </w:rPr>
              <w:t>2</w:t>
            </w:r>
          </w:p>
        </w:tc>
        <w:tc>
          <w:tcPr>
            <w:tcW w:w="1729" w:type="dxa"/>
            <w:tcBorders>
              <w:top w:val="single" w:sz="4" w:space="0" w:color="auto"/>
              <w:left w:val="nil"/>
              <w:bottom w:val="single" w:sz="4" w:space="0" w:color="auto"/>
              <w:right w:val="single" w:sz="4" w:space="0" w:color="auto"/>
            </w:tcBorders>
            <w:vAlign w:val="center"/>
          </w:tcPr>
          <w:p w:rsidR="00BC02A8">
            <w:pPr>
              <w:spacing w:line="360" w:lineRule="auto"/>
              <w:jc w:val="center"/>
              <w:rPr>
                <w:rFonts w:ascii="宋体" w:hAnsi="宋体"/>
              </w:rPr>
            </w:pPr>
            <w:r>
              <w:rPr>
                <w:rFonts w:ascii="宋体" w:hAnsi="宋体" w:hint="eastAsia"/>
              </w:rPr>
              <w:t>同业存单</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r>
      <w:tr>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BC02A8">
            <w:pPr>
              <w:jc w:val="center"/>
              <w:rPr>
                <w:rFonts w:ascii="宋体" w:hAnsi="宋体"/>
              </w:rPr>
            </w:pPr>
            <w:r>
              <w:rPr>
                <w:rFonts w:ascii="宋体" w:hAnsi="宋体" w:hint="eastAsia"/>
              </w:rPr>
              <w:t>3</w:t>
            </w:r>
          </w:p>
        </w:tc>
        <w:tc>
          <w:tcPr>
            <w:tcW w:w="1729" w:type="dxa"/>
            <w:tcBorders>
              <w:top w:val="single" w:sz="4" w:space="0" w:color="auto"/>
              <w:left w:val="nil"/>
              <w:bottom w:val="single" w:sz="4" w:space="0" w:color="auto"/>
              <w:right w:val="single" w:sz="4" w:space="0" w:color="auto"/>
            </w:tcBorders>
            <w:vAlign w:val="center"/>
          </w:tcPr>
          <w:p w:rsidR="00BC02A8">
            <w:pPr>
              <w:spacing w:line="360" w:lineRule="auto"/>
              <w:jc w:val="center"/>
              <w:rPr>
                <w:rFonts w:ascii="宋体" w:hAnsi="宋体"/>
              </w:rPr>
            </w:pPr>
            <w:r>
              <w:rPr>
                <w:rFonts w:ascii="宋体" w:hAnsi="宋体" w:hint="eastAsia"/>
              </w:rPr>
              <w:t>拆放同业及债券买入返售</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r>
      <w:tr>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BC02A8">
            <w:pPr>
              <w:jc w:val="center"/>
              <w:rPr>
                <w:rFonts w:ascii="宋体" w:hAnsi="宋体"/>
              </w:rPr>
            </w:pPr>
            <w:r>
              <w:rPr>
                <w:rFonts w:ascii="宋体" w:hAnsi="宋体" w:hint="eastAsia"/>
              </w:rPr>
              <w:t>4</w:t>
            </w:r>
          </w:p>
        </w:tc>
        <w:tc>
          <w:tcPr>
            <w:tcW w:w="1729" w:type="dxa"/>
            <w:tcBorders>
              <w:top w:val="single" w:sz="4" w:space="0" w:color="auto"/>
              <w:left w:val="nil"/>
              <w:bottom w:val="single" w:sz="4" w:space="0" w:color="auto"/>
              <w:right w:val="single" w:sz="4" w:space="0" w:color="auto"/>
            </w:tcBorders>
            <w:vAlign w:val="center"/>
          </w:tcPr>
          <w:p w:rsidR="00BC02A8">
            <w:pPr>
              <w:spacing w:line="360" w:lineRule="auto"/>
              <w:jc w:val="center"/>
              <w:rPr>
                <w:rFonts w:ascii="宋体" w:hAnsi="宋体"/>
              </w:rPr>
            </w:pPr>
            <w:r>
              <w:rPr>
                <w:rFonts w:ascii="宋体" w:hAnsi="宋体" w:hint="eastAsia"/>
              </w:rPr>
              <w:t>债券</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251,454,572.44</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48.89</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251,454,572.44</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48.88</w:t>
            </w:r>
          </w:p>
        </w:tc>
      </w:tr>
      <w:tr>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BC02A8">
            <w:pPr>
              <w:jc w:val="center"/>
              <w:rPr>
                <w:rFonts w:ascii="宋体" w:hAnsi="宋体"/>
              </w:rPr>
            </w:pPr>
            <w:r>
              <w:rPr>
                <w:rFonts w:ascii="宋体" w:hAnsi="宋体" w:hint="eastAsia"/>
              </w:rPr>
              <w:t>5</w:t>
            </w:r>
          </w:p>
        </w:tc>
        <w:tc>
          <w:tcPr>
            <w:tcW w:w="1729" w:type="dxa"/>
            <w:tcBorders>
              <w:top w:val="single" w:sz="4" w:space="0" w:color="auto"/>
              <w:left w:val="nil"/>
              <w:bottom w:val="single" w:sz="4" w:space="0" w:color="auto"/>
              <w:right w:val="single" w:sz="4" w:space="0" w:color="auto"/>
            </w:tcBorders>
            <w:vAlign w:val="center"/>
          </w:tcPr>
          <w:p w:rsidR="00BC02A8">
            <w:pPr>
              <w:spacing w:line="360" w:lineRule="auto"/>
              <w:jc w:val="center"/>
              <w:rPr>
                <w:rFonts w:ascii="宋体" w:hAnsi="宋体"/>
              </w:rPr>
            </w:pPr>
            <w:r>
              <w:rPr>
                <w:rFonts w:ascii="宋体" w:hAnsi="宋体" w:hint="eastAsia"/>
              </w:rPr>
              <w:t>非标准化债权类资产</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r>
      <w:tr>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BC02A8">
            <w:pPr>
              <w:jc w:val="center"/>
              <w:rPr>
                <w:rFonts w:ascii="宋体" w:hAnsi="宋体"/>
              </w:rPr>
            </w:pPr>
            <w:r>
              <w:rPr>
                <w:rFonts w:ascii="宋体" w:hAnsi="宋体" w:hint="eastAsia"/>
              </w:rPr>
              <w:t>6</w:t>
            </w:r>
          </w:p>
        </w:tc>
        <w:tc>
          <w:tcPr>
            <w:tcW w:w="1729" w:type="dxa"/>
            <w:tcBorders>
              <w:top w:val="single" w:sz="4" w:space="0" w:color="auto"/>
              <w:left w:val="nil"/>
              <w:bottom w:val="single" w:sz="4" w:space="0" w:color="auto"/>
              <w:right w:val="single" w:sz="4" w:space="0" w:color="auto"/>
            </w:tcBorders>
            <w:vAlign w:val="center"/>
          </w:tcPr>
          <w:p w:rsidR="00BC02A8">
            <w:pPr>
              <w:spacing w:line="360" w:lineRule="auto"/>
              <w:jc w:val="center"/>
              <w:rPr>
                <w:rFonts w:ascii="宋体" w:hAnsi="宋体"/>
              </w:rPr>
            </w:pPr>
            <w:r>
              <w:rPr>
                <w:rFonts w:ascii="宋体" w:hAnsi="宋体" w:hint="eastAsia"/>
              </w:rPr>
              <w:t>权益类投资</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r>
      <w:tr>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BC02A8">
            <w:pPr>
              <w:jc w:val="center"/>
              <w:rPr>
                <w:rFonts w:ascii="宋体" w:hAnsi="宋体"/>
              </w:rPr>
            </w:pPr>
            <w:r>
              <w:rPr>
                <w:rFonts w:ascii="宋体" w:hAnsi="宋体" w:hint="eastAsia"/>
              </w:rPr>
              <w:t>7</w:t>
            </w:r>
          </w:p>
        </w:tc>
        <w:tc>
          <w:tcPr>
            <w:tcW w:w="1729" w:type="dxa"/>
            <w:tcBorders>
              <w:top w:val="single" w:sz="4" w:space="0" w:color="auto"/>
              <w:left w:val="nil"/>
              <w:bottom w:val="single" w:sz="4" w:space="0" w:color="auto"/>
              <w:right w:val="single" w:sz="4" w:space="0" w:color="auto"/>
            </w:tcBorders>
            <w:vAlign w:val="center"/>
          </w:tcPr>
          <w:p w:rsidR="00BC02A8">
            <w:pPr>
              <w:spacing w:line="360" w:lineRule="auto"/>
              <w:jc w:val="center"/>
              <w:rPr>
                <w:rFonts w:ascii="宋体" w:hAnsi="宋体"/>
              </w:rPr>
            </w:pPr>
            <w:r>
              <w:rPr>
                <w:rFonts w:ascii="宋体" w:hAnsi="宋体" w:hint="eastAsia"/>
              </w:rPr>
              <w:t>金融衍生品</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r>
      <w:tr>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BC02A8">
            <w:pPr>
              <w:jc w:val="center"/>
              <w:rPr>
                <w:rFonts w:ascii="宋体" w:hAnsi="宋体"/>
              </w:rPr>
            </w:pPr>
            <w:r>
              <w:rPr>
                <w:rFonts w:ascii="宋体" w:hAnsi="宋体" w:hint="eastAsia"/>
              </w:rPr>
              <w:t>8</w:t>
            </w:r>
          </w:p>
        </w:tc>
        <w:tc>
          <w:tcPr>
            <w:tcW w:w="1729" w:type="dxa"/>
            <w:tcBorders>
              <w:top w:val="single" w:sz="4" w:space="0" w:color="auto"/>
              <w:left w:val="nil"/>
              <w:bottom w:val="single" w:sz="4" w:space="0" w:color="auto"/>
              <w:right w:val="single" w:sz="4" w:space="0" w:color="auto"/>
            </w:tcBorders>
            <w:vAlign w:val="center"/>
          </w:tcPr>
          <w:p w:rsidR="00BC02A8">
            <w:pPr>
              <w:spacing w:line="360" w:lineRule="auto"/>
              <w:jc w:val="center"/>
              <w:rPr>
                <w:rFonts w:ascii="宋体" w:hAnsi="宋体"/>
              </w:rPr>
            </w:pPr>
            <w:r>
              <w:rPr>
                <w:rFonts w:ascii="宋体" w:hAnsi="宋体" w:hint="eastAsia"/>
              </w:rPr>
              <w:t>境外资产</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r>
      <w:tr>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BC02A8">
            <w:pPr>
              <w:jc w:val="center"/>
              <w:rPr>
                <w:rFonts w:ascii="宋体" w:hAnsi="宋体"/>
              </w:rPr>
            </w:pPr>
            <w:r>
              <w:rPr>
                <w:rFonts w:ascii="宋体" w:hAnsi="宋体" w:hint="eastAsia"/>
              </w:rPr>
              <w:t>9</w:t>
            </w:r>
          </w:p>
        </w:tc>
        <w:tc>
          <w:tcPr>
            <w:tcW w:w="1729" w:type="dxa"/>
            <w:tcBorders>
              <w:top w:val="single" w:sz="4" w:space="0" w:color="auto"/>
              <w:left w:val="nil"/>
              <w:bottom w:val="single" w:sz="4" w:space="0" w:color="auto"/>
              <w:right w:val="single" w:sz="4" w:space="0" w:color="auto"/>
            </w:tcBorders>
            <w:vAlign w:val="center"/>
          </w:tcPr>
          <w:p w:rsidR="00BC02A8">
            <w:pPr>
              <w:spacing w:line="360" w:lineRule="auto"/>
              <w:jc w:val="center"/>
              <w:rPr>
                <w:rFonts w:ascii="宋体" w:hAnsi="宋体"/>
              </w:rPr>
            </w:pPr>
            <w:r>
              <w:rPr>
                <w:rFonts w:ascii="宋体" w:hAnsi="宋体" w:hint="eastAsia"/>
              </w:rPr>
              <w:t>商品类资产</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r>
      <w:tr>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BC02A8">
            <w:pPr>
              <w:jc w:val="center"/>
              <w:rPr>
                <w:rFonts w:ascii="宋体" w:hAnsi="宋体"/>
              </w:rPr>
            </w:pPr>
            <w:r>
              <w:rPr>
                <w:rFonts w:ascii="宋体" w:hAnsi="宋体" w:hint="eastAsia"/>
              </w:rPr>
              <w:t>10</w:t>
            </w:r>
          </w:p>
        </w:tc>
        <w:tc>
          <w:tcPr>
            <w:tcW w:w="1729" w:type="dxa"/>
            <w:tcBorders>
              <w:top w:val="single" w:sz="4" w:space="0" w:color="auto"/>
              <w:left w:val="nil"/>
              <w:bottom w:val="single" w:sz="4" w:space="0" w:color="auto"/>
              <w:right w:val="single" w:sz="4" w:space="0" w:color="auto"/>
            </w:tcBorders>
            <w:vAlign w:val="center"/>
          </w:tcPr>
          <w:p w:rsidR="00BC02A8">
            <w:pPr>
              <w:spacing w:line="360" w:lineRule="auto"/>
              <w:jc w:val="center"/>
              <w:rPr>
                <w:rFonts w:ascii="宋体" w:hAnsi="宋体"/>
              </w:rPr>
            </w:pPr>
            <w:r>
              <w:rPr>
                <w:rFonts w:ascii="宋体" w:hAnsi="宋体" w:hint="eastAsia"/>
              </w:rPr>
              <w:t>另类资产</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r>
      <w:tr>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BC02A8">
            <w:pPr>
              <w:jc w:val="center"/>
              <w:rPr>
                <w:rFonts w:ascii="宋体" w:hAnsi="宋体"/>
              </w:rPr>
            </w:pPr>
            <w:r>
              <w:rPr>
                <w:rFonts w:ascii="宋体" w:hAnsi="宋体" w:hint="eastAsia"/>
              </w:rPr>
              <w:t>11</w:t>
            </w:r>
          </w:p>
        </w:tc>
        <w:tc>
          <w:tcPr>
            <w:tcW w:w="1729" w:type="dxa"/>
            <w:tcBorders>
              <w:top w:val="single" w:sz="4" w:space="0" w:color="auto"/>
              <w:left w:val="nil"/>
              <w:bottom w:val="single" w:sz="4" w:space="0" w:color="auto"/>
              <w:right w:val="single" w:sz="4" w:space="0" w:color="auto"/>
            </w:tcBorders>
            <w:vAlign w:val="center"/>
          </w:tcPr>
          <w:p w:rsidR="00BC02A8">
            <w:pPr>
              <w:spacing w:line="360" w:lineRule="auto"/>
              <w:jc w:val="center"/>
              <w:rPr>
                <w:rFonts w:ascii="宋体" w:hAnsi="宋体"/>
              </w:rPr>
            </w:pPr>
            <w:r>
              <w:rPr>
                <w:rFonts w:ascii="宋体" w:hAnsi="宋体" w:hint="eastAsia"/>
              </w:rPr>
              <w:t>公募基金</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r>
      <w:tr>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BC02A8">
            <w:pPr>
              <w:jc w:val="center"/>
              <w:rPr>
                <w:rFonts w:ascii="宋体" w:hAnsi="宋体"/>
              </w:rPr>
            </w:pPr>
            <w:r>
              <w:rPr>
                <w:rFonts w:ascii="宋体" w:hAnsi="宋体" w:hint="eastAsia"/>
              </w:rPr>
              <w:t>12</w:t>
            </w:r>
          </w:p>
        </w:tc>
        <w:tc>
          <w:tcPr>
            <w:tcW w:w="1729" w:type="dxa"/>
            <w:tcBorders>
              <w:top w:val="single" w:sz="4" w:space="0" w:color="auto"/>
              <w:left w:val="nil"/>
              <w:bottom w:val="single" w:sz="4" w:space="0" w:color="auto"/>
              <w:right w:val="single" w:sz="4" w:space="0" w:color="auto"/>
            </w:tcBorders>
            <w:vAlign w:val="center"/>
          </w:tcPr>
          <w:p w:rsidR="00BC02A8">
            <w:pPr>
              <w:spacing w:line="360" w:lineRule="auto"/>
              <w:jc w:val="center"/>
              <w:rPr>
                <w:rFonts w:ascii="宋体" w:hAnsi="宋体"/>
              </w:rPr>
            </w:pPr>
            <w:r>
              <w:rPr>
                <w:rFonts w:ascii="宋体" w:hAnsi="宋体" w:hint="eastAsia"/>
              </w:rPr>
              <w:t>私募基金</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r>
      <w:tr>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BC02A8">
            <w:pPr>
              <w:jc w:val="center"/>
              <w:rPr>
                <w:rFonts w:ascii="宋体" w:hAnsi="宋体"/>
              </w:rPr>
            </w:pPr>
            <w:r>
              <w:rPr>
                <w:rFonts w:ascii="宋体" w:hAnsi="宋体" w:hint="eastAsia"/>
              </w:rPr>
              <w:t>13</w:t>
            </w:r>
          </w:p>
        </w:tc>
        <w:tc>
          <w:tcPr>
            <w:tcW w:w="1729" w:type="dxa"/>
            <w:tcBorders>
              <w:top w:val="single" w:sz="4" w:space="0" w:color="auto"/>
              <w:left w:val="nil"/>
              <w:bottom w:val="single" w:sz="4" w:space="0" w:color="auto"/>
              <w:right w:val="single" w:sz="4" w:space="0" w:color="auto"/>
            </w:tcBorders>
            <w:vAlign w:val="center"/>
          </w:tcPr>
          <w:p w:rsidR="00BC02A8">
            <w:pPr>
              <w:spacing w:line="360" w:lineRule="auto"/>
              <w:jc w:val="center"/>
              <w:rPr>
                <w:rFonts w:ascii="宋体" w:hAnsi="宋体"/>
              </w:rPr>
            </w:pPr>
            <w:r>
              <w:rPr>
                <w:rFonts w:ascii="宋体" w:hAnsi="宋体" w:hint="eastAsia"/>
              </w:rPr>
              <w:t>资产管理产品</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210,411,452.22</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40.90</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r>
      <w:tr>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BC02A8">
            <w:pPr>
              <w:jc w:val="center"/>
              <w:rPr>
                <w:rFonts w:ascii="宋体" w:hAnsi="宋体"/>
              </w:rPr>
            </w:pPr>
            <w:r>
              <w:rPr>
                <w:rFonts w:ascii="宋体" w:hAnsi="宋体" w:hint="eastAsia"/>
              </w:rPr>
              <w:t>14</w:t>
            </w:r>
          </w:p>
        </w:tc>
        <w:tc>
          <w:tcPr>
            <w:tcW w:w="1729" w:type="dxa"/>
            <w:tcBorders>
              <w:top w:val="single" w:sz="4" w:space="0" w:color="auto"/>
              <w:left w:val="nil"/>
              <w:bottom w:val="single" w:sz="4" w:space="0" w:color="auto"/>
              <w:right w:val="single" w:sz="4" w:space="0" w:color="auto"/>
            </w:tcBorders>
            <w:vAlign w:val="center"/>
          </w:tcPr>
          <w:p w:rsidR="00BC02A8">
            <w:pPr>
              <w:spacing w:line="360" w:lineRule="auto"/>
              <w:jc w:val="center"/>
              <w:rPr>
                <w:rFonts w:ascii="宋体" w:hAnsi="宋体"/>
              </w:rPr>
            </w:pPr>
            <w:r>
              <w:rPr>
                <w:rFonts w:ascii="宋体" w:hAnsi="宋体" w:hint="eastAsia"/>
              </w:rPr>
              <w:t>委外投资-协议方式</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r>
      <w:tr>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BC02A8">
            <w:pPr>
              <w:jc w:val="center"/>
              <w:rPr>
                <w:rFonts w:ascii="宋体" w:hAnsi="宋体"/>
              </w:rPr>
            </w:pPr>
            <w:r>
              <w:rPr>
                <w:rFonts w:ascii="宋体" w:hAnsi="宋体" w:hint="eastAsia"/>
              </w:rPr>
              <w:t>15</w:t>
            </w:r>
          </w:p>
        </w:tc>
        <w:tc>
          <w:tcPr>
            <w:tcW w:w="1729" w:type="dxa"/>
            <w:tcBorders>
              <w:top w:val="single" w:sz="4" w:space="0" w:color="auto"/>
              <w:left w:val="nil"/>
              <w:bottom w:val="single" w:sz="4" w:space="0" w:color="auto"/>
              <w:right w:val="single" w:sz="4" w:space="0" w:color="auto"/>
            </w:tcBorders>
            <w:vAlign w:val="center"/>
          </w:tcPr>
          <w:p w:rsidR="00BC02A8">
            <w:pPr>
              <w:spacing w:line="360" w:lineRule="auto"/>
              <w:jc w:val="center"/>
              <w:rPr>
                <w:rFonts w:ascii="宋体" w:hAnsi="宋体"/>
              </w:rPr>
            </w:pPr>
            <w:r>
              <w:rPr>
                <w:rFonts w:ascii="宋体" w:hAnsi="宋体" w:hint="eastAsia"/>
              </w:rPr>
              <w:t>其他资产</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r>
      <w:tr>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BC02A8">
            <w:pPr>
              <w:jc w:val="center"/>
              <w:rPr>
                <w:rFonts w:ascii="宋体" w:hAnsi="宋体"/>
              </w:rPr>
            </w:pPr>
          </w:p>
        </w:tc>
        <w:tc>
          <w:tcPr>
            <w:tcW w:w="1729" w:type="dxa"/>
            <w:tcBorders>
              <w:top w:val="single" w:sz="4" w:space="0" w:color="auto"/>
              <w:left w:val="nil"/>
              <w:bottom w:val="single" w:sz="4" w:space="0" w:color="auto"/>
              <w:right w:val="single" w:sz="4" w:space="0" w:color="auto"/>
            </w:tcBorders>
            <w:vAlign w:val="center"/>
          </w:tcPr>
          <w:p w:rsidR="00BC02A8">
            <w:pPr>
              <w:spacing w:line="360" w:lineRule="auto"/>
              <w:jc w:val="center"/>
              <w:rPr>
                <w:rFonts w:ascii="宋体" w:hAnsi="宋体"/>
              </w:rPr>
            </w:pPr>
            <w:r>
              <w:rPr>
                <w:rFonts w:ascii="宋体" w:hAnsi="宋体" w:hint="eastAsia"/>
              </w:rPr>
              <w:t>合计</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514,397,980.33</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100.00</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514,398,956.02</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100.00</w:t>
            </w:r>
          </w:p>
        </w:tc>
      </w:tr>
    </w:tbl>
    <w:p w:rsidR="00BC02A8">
      <w:pPr>
        <w:rPr>
          <w:rFonts w:ascii="宋体" w:hAnsi="宋体"/>
          <w:shd w:val="clear" w:color="auto" w:fill="FFFFFF"/>
        </w:rPr>
      </w:pPr>
      <w:r>
        <w:rPr>
          <w:rFonts w:ascii="宋体" w:hAnsi="宋体" w:hint="eastAsia"/>
          <w:shd w:val="clear" w:color="auto" w:fill="FFFFFF"/>
        </w:rPr>
        <w:t>注：</w:t>
      </w:r>
    </w:p>
    <w:p w:rsidR="00BC02A8">
      <w:pPr>
        <w:rPr>
          <w:rFonts w:ascii="宋体" w:hAnsi="宋体" w:cs="宋体"/>
        </w:rPr>
      </w:pPr>
      <w:r>
        <w:rPr>
          <w:rFonts w:ascii="宋体" w:hAnsi="宋体" w:cs="宋体" w:hint="eastAsia"/>
        </w:rPr>
        <w:t>1.穿透前列示的为理财产品直接投资并持有的各类资产，包括公募基金、私募基金、资产管理产品、通过签订协议的方式开展委托投资-协议方式持有资产以及其他直接投资并持有的资产的余额及占比，穿透后列示的为理财产品直接持有的各类资产、公募基金（无需穿透），以及对于间接持有的通过私募基金、资产管理产品、委外投资-协议方式投资的资产，即私募基金、资产管理产品、委外投资-协议方式投资需穿透至底层资产，按照理财产品持有比</w:t>
      </w:r>
      <w:r>
        <w:rPr>
          <w:rFonts w:ascii="宋体" w:hAnsi="宋体" w:cs="宋体" w:hint="eastAsia"/>
        </w:rPr>
        <w:t>例计算的底层资产余额及占比。</w:t>
      </w:r>
    </w:p>
    <w:p w:rsidR="00BC02A8">
      <w:pPr>
        <w:rPr>
          <w:rFonts w:ascii="宋体" w:hAnsi="宋体" w:cs="宋体"/>
        </w:rPr>
      </w:pPr>
      <w:r>
        <w:rPr>
          <w:rFonts w:ascii="宋体" w:hAnsi="宋体" w:cs="宋体" w:hint="eastAsia"/>
        </w:rPr>
        <w:t>2.金额中包含资产应计利息、其他应收款项、清算款项和待摊费用。</w:t>
      </w:r>
    </w:p>
    <w:p w:rsidR="00BC02A8">
      <w:pPr>
        <w:rPr>
          <w:rFonts w:ascii="宋体" w:hAnsi="宋体" w:cs="宋体"/>
        </w:rPr>
      </w:pPr>
      <w:r>
        <w:rPr>
          <w:rFonts w:ascii="宋体" w:eastAsia="宋体" w:hAnsi="宋体" w:cs="宋体"/>
          <w:b w:val="0"/>
          <w:i w:val="0"/>
          <w:color w:val="000000"/>
          <w:position w:val="-1"/>
          <w:u w:val="none"/>
        </w:rPr>
        <w:t>3.占产品总资产的比例=资产余额/产品总资产，占比结果保留两位小数（因第二位小数四舍五入，可能存在尾差）。</w:t>
      </w:r>
    </w:p>
    <w:p w:rsidR="00EA25B3">
      <w:pPr>
        <w:pStyle w:val="Heading2"/>
        <w:widowControl/>
        <w:rPr>
          <w:rFonts w:cs="宋体" w:hint="default"/>
          <w:color w:val="333333"/>
          <w:kern w:val="0"/>
          <w:szCs w:val="21"/>
          <w:highlight w:val="lightGray"/>
          <w:shd w:val="clear" w:color="auto" w:fill="FFFFFF"/>
        </w:rPr>
      </w:pPr>
      <w:bookmarkStart w:id="28" w:name="_Toc256000013"/>
      <w:r>
        <w:rPr>
          <w:b/>
          <w:i w:val="0"/>
          <w:color w:val="000000"/>
          <w:position w:val="-1"/>
          <w:sz w:val="24"/>
          <w:u w:val="none"/>
        </w:rPr>
        <w:t>5.2 期末投资组合前十项资产</w:t>
      </w:r>
      <w:bookmarkEnd w:id="28"/>
    </w:p>
    <w:tbl>
      <w:tblPr>
        <w:tblStyle w:val="TableNormal"/>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09"/>
        <w:gridCol w:w="2386"/>
        <w:gridCol w:w="3046"/>
        <w:gridCol w:w="1631"/>
      </w:tblGrid>
      <w:tr>
        <w:tblPrEx>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c>
          <w:tcPr>
            <w:tcW w:w="2009" w:type="dxa"/>
            <w:shd w:val="clear" w:color="auto" w:fill="BFBFBF"/>
            <w:vAlign w:val="center"/>
          </w:tcPr>
          <w:p w:rsidR="00EA25B3">
            <w:pPr>
              <w:widowControl/>
              <w:jc w:val="center"/>
              <w:rPr>
                <w:rFonts w:ascii="宋体" w:hAnsi="宋体" w:cs="宋体"/>
                <w:b/>
                <w:color w:val="333333"/>
                <w:kern w:val="0"/>
                <w:szCs w:val="21"/>
                <w:highlight w:val="lightGray"/>
                <w:shd w:val="clear" w:color="auto" w:fill="FFFFFF"/>
              </w:rPr>
            </w:pPr>
            <w:r w:rsidRPr="0090581A">
              <w:rPr>
                <w:rFonts w:ascii="宋体" w:hAnsi="宋体" w:cs="宋体" w:hint="eastAsia"/>
                <w:b/>
                <w:szCs w:val="21"/>
              </w:rPr>
              <w:t>序号</w:t>
            </w:r>
          </w:p>
        </w:tc>
        <w:tc>
          <w:tcPr>
            <w:tcW w:w="2386" w:type="dxa"/>
            <w:shd w:val="clear" w:color="auto" w:fill="BFBFBF"/>
            <w:vAlign w:val="center"/>
          </w:tcPr>
          <w:p w:rsidR="00EA25B3">
            <w:pPr>
              <w:widowControl/>
              <w:jc w:val="center"/>
              <w:rPr>
                <w:rFonts w:ascii="宋体" w:hAnsi="宋体" w:cs="宋体"/>
                <w:b/>
                <w:color w:val="333333"/>
                <w:kern w:val="0"/>
                <w:szCs w:val="21"/>
                <w:highlight w:val="lightGray"/>
                <w:shd w:val="clear" w:color="auto" w:fill="FFFFFF"/>
              </w:rPr>
            </w:pPr>
            <w:r>
              <w:rPr>
                <w:rFonts w:ascii="宋体" w:hAnsi="宋体" w:cs="宋体" w:hint="eastAsia"/>
                <w:b/>
                <w:szCs w:val="21"/>
              </w:rPr>
              <w:t>资产名称</w:t>
            </w:r>
          </w:p>
        </w:tc>
        <w:tc>
          <w:tcPr>
            <w:tcW w:w="3046" w:type="dxa"/>
            <w:shd w:val="clear" w:color="auto" w:fill="BFBFBF"/>
            <w:vAlign w:val="center"/>
          </w:tcPr>
          <w:p w:rsidR="00EA25B3">
            <w:pPr>
              <w:widowControl/>
              <w:jc w:val="center"/>
              <w:rPr>
                <w:rFonts w:ascii="宋体" w:hAnsi="宋体" w:cs="宋体"/>
                <w:b/>
                <w:color w:val="333333"/>
                <w:kern w:val="0"/>
                <w:szCs w:val="21"/>
                <w:highlight w:val="lightGray"/>
                <w:shd w:val="clear" w:color="auto" w:fill="FFFFFF"/>
              </w:rPr>
            </w:pPr>
            <w:r>
              <w:rPr>
                <w:rFonts w:ascii="宋体" w:hAnsi="宋体" w:cs="宋体" w:hint="eastAsia"/>
                <w:b/>
                <w:szCs w:val="21"/>
              </w:rPr>
              <w:t>资产余额</w:t>
            </w:r>
          </w:p>
          <w:p w:rsidR="00EA25B3">
            <w:pPr>
              <w:widowControl/>
              <w:jc w:val="center"/>
              <w:rPr>
                <w:rFonts w:ascii="宋体" w:hAnsi="宋体" w:cs="宋体"/>
                <w:b/>
                <w:szCs w:val="21"/>
              </w:rPr>
            </w:pPr>
            <w:r>
              <w:rPr>
                <w:rFonts w:ascii="宋体" w:hAnsi="宋体" w:cs="宋体" w:hint="eastAsia"/>
                <w:b/>
                <w:szCs w:val="21"/>
              </w:rPr>
              <w:t>（单位：</w:t>
            </w:r>
            <w:r>
              <w:rPr>
                <w:rFonts w:ascii="宋体" w:eastAsia="宋体" w:hAnsi="宋体" w:cs="宋体"/>
                <w:b/>
                <w:i w:val="0"/>
                <w:color w:val="000000"/>
                <w:position w:val="-1"/>
                <w:u w:val="none"/>
              </w:rPr>
              <w:t>元</w:t>
            </w:r>
            <w:r>
              <w:rPr>
                <w:rFonts w:ascii="宋体" w:hAnsi="宋体" w:cs="宋体" w:hint="eastAsia"/>
                <w:b/>
                <w:szCs w:val="21"/>
              </w:rPr>
              <w:t>）</w:t>
            </w:r>
          </w:p>
        </w:tc>
        <w:tc>
          <w:tcPr>
            <w:tcW w:w="1631" w:type="dxa"/>
            <w:shd w:val="clear" w:color="auto" w:fill="BFBFBF"/>
            <w:vAlign w:val="center"/>
          </w:tcPr>
          <w:p w:rsidR="00EA25B3">
            <w:pPr>
              <w:widowControl/>
              <w:jc w:val="center"/>
              <w:rPr>
                <w:rFonts w:ascii="宋体" w:hAnsi="宋体" w:cs="宋体"/>
                <w:b/>
                <w:szCs w:val="21"/>
              </w:rPr>
            </w:pPr>
            <w:r>
              <w:rPr>
                <w:rFonts w:ascii="宋体" w:hAnsi="宋体" w:cs="宋体" w:hint="eastAsia"/>
                <w:b/>
                <w:szCs w:val="21"/>
              </w:rPr>
              <w:t>占产品净资产</w:t>
            </w:r>
          </w:p>
          <w:p w:rsidR="00EA25B3">
            <w:pPr>
              <w:widowControl/>
              <w:jc w:val="center"/>
              <w:rPr>
                <w:rFonts w:ascii="宋体" w:hAnsi="宋体" w:cs="宋体"/>
                <w:b/>
                <w:color w:val="333333"/>
                <w:kern w:val="0"/>
                <w:szCs w:val="21"/>
                <w:highlight w:val="lightGray"/>
                <w:shd w:val="clear" w:color="auto" w:fill="FFFFFF"/>
              </w:rPr>
            </w:pPr>
            <w:r>
              <w:rPr>
                <w:rFonts w:ascii="宋体" w:hAnsi="宋体" w:cs="宋体"/>
                <w:b/>
                <w:szCs w:val="21"/>
              </w:rPr>
              <w:t>的</w:t>
            </w:r>
            <w:r>
              <w:rPr>
                <w:rFonts w:ascii="宋体" w:hAnsi="宋体" w:cs="宋体" w:hint="eastAsia"/>
                <w:b/>
                <w:szCs w:val="21"/>
              </w:rPr>
              <w:t>比例（%）</w:t>
            </w:r>
          </w:p>
        </w:tc>
      </w:tr>
      <w:tr>
        <w:tblPrEx>
          <w:tblW w:w="9072" w:type="dxa"/>
          <w:tblInd w:w="-5" w:type="dxa"/>
          <w:tblLook w:val="0000"/>
        </w:tblPrEx>
        <w:trPr>
          <w:trHeight w:val="431"/>
        </w:trPr>
        <w:tc>
          <w:tcPr>
            <w:tcW w:w="2009"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1</w:t>
            </w:r>
          </w:p>
        </w:tc>
        <w:tc>
          <w:tcPr>
            <w:tcW w:w="238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24招蛇1A</w:t>
            </w:r>
          </w:p>
        </w:tc>
        <w:tc>
          <w:tcPr>
            <w:tcW w:w="304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40,436,741.92</w:t>
            </w:r>
          </w:p>
        </w:tc>
        <w:tc>
          <w:tcPr>
            <w:tcW w:w="1631"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7.86</w:t>
            </w:r>
          </w:p>
        </w:tc>
      </w:tr>
      <w:tr>
        <w:tblPrEx>
          <w:tblW w:w="9072" w:type="dxa"/>
          <w:tblInd w:w="-5" w:type="dxa"/>
          <w:tblLook w:val="0000"/>
        </w:tblPrEx>
        <w:trPr>
          <w:trHeight w:val="431"/>
        </w:trPr>
        <w:tc>
          <w:tcPr>
            <w:tcW w:w="2009"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2</w:t>
            </w:r>
          </w:p>
        </w:tc>
        <w:tc>
          <w:tcPr>
            <w:tcW w:w="238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定期存款12502470126000002</w:t>
            </w:r>
          </w:p>
        </w:tc>
        <w:tc>
          <w:tcPr>
            <w:tcW w:w="304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27,923,211.00</w:t>
            </w:r>
          </w:p>
        </w:tc>
        <w:tc>
          <w:tcPr>
            <w:tcW w:w="1631"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5.43</w:t>
            </w:r>
          </w:p>
        </w:tc>
      </w:tr>
      <w:tr>
        <w:tblPrEx>
          <w:tblW w:w="9072" w:type="dxa"/>
          <w:tblInd w:w="-5" w:type="dxa"/>
          <w:tblLook w:val="0000"/>
        </w:tblPrEx>
        <w:trPr>
          <w:trHeight w:val="431"/>
        </w:trPr>
        <w:tc>
          <w:tcPr>
            <w:tcW w:w="2009"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3</w:t>
            </w:r>
          </w:p>
        </w:tc>
        <w:tc>
          <w:tcPr>
            <w:tcW w:w="238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定期存款12500540320250613300135</w:t>
            </w:r>
          </w:p>
        </w:tc>
        <w:tc>
          <w:tcPr>
            <w:tcW w:w="304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20,951,314.40</w:t>
            </w:r>
          </w:p>
        </w:tc>
        <w:tc>
          <w:tcPr>
            <w:tcW w:w="1631"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4.07</w:t>
            </w:r>
          </w:p>
        </w:tc>
      </w:tr>
      <w:tr>
        <w:tblPrEx>
          <w:tblW w:w="9072" w:type="dxa"/>
          <w:tblInd w:w="-5" w:type="dxa"/>
          <w:tblLook w:val="0000"/>
        </w:tblPrEx>
        <w:trPr>
          <w:trHeight w:val="431"/>
        </w:trPr>
        <w:tc>
          <w:tcPr>
            <w:tcW w:w="2009"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4</w:t>
            </w:r>
          </w:p>
        </w:tc>
        <w:tc>
          <w:tcPr>
            <w:tcW w:w="238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23国开07</w:t>
            </w:r>
          </w:p>
        </w:tc>
        <w:tc>
          <w:tcPr>
            <w:tcW w:w="304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20,377,923.84</w:t>
            </w:r>
          </w:p>
        </w:tc>
        <w:tc>
          <w:tcPr>
            <w:tcW w:w="1631"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3.96</w:t>
            </w:r>
          </w:p>
        </w:tc>
      </w:tr>
      <w:tr>
        <w:tblPrEx>
          <w:tblW w:w="9072" w:type="dxa"/>
          <w:tblInd w:w="-5" w:type="dxa"/>
          <w:tblLook w:val="0000"/>
        </w:tblPrEx>
        <w:trPr>
          <w:trHeight w:val="431"/>
        </w:trPr>
        <w:tc>
          <w:tcPr>
            <w:tcW w:w="2009"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5</w:t>
            </w:r>
          </w:p>
        </w:tc>
        <w:tc>
          <w:tcPr>
            <w:tcW w:w="238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25红狮CP001</w:t>
            </w:r>
          </w:p>
        </w:tc>
        <w:tc>
          <w:tcPr>
            <w:tcW w:w="304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20,227,750.68</w:t>
            </w:r>
          </w:p>
        </w:tc>
        <w:tc>
          <w:tcPr>
            <w:tcW w:w="1631"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3.93</w:t>
            </w:r>
          </w:p>
        </w:tc>
      </w:tr>
      <w:tr>
        <w:tblPrEx>
          <w:tblW w:w="9072" w:type="dxa"/>
          <w:tblInd w:w="-5" w:type="dxa"/>
          <w:tblLook w:val="0000"/>
        </w:tblPrEx>
        <w:trPr>
          <w:trHeight w:val="431"/>
        </w:trPr>
        <w:tc>
          <w:tcPr>
            <w:tcW w:w="2009"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6</w:t>
            </w:r>
          </w:p>
        </w:tc>
        <w:tc>
          <w:tcPr>
            <w:tcW w:w="238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定期存款12502470113000003</w:t>
            </w:r>
          </w:p>
        </w:tc>
        <w:tc>
          <w:tcPr>
            <w:tcW w:w="304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18,562,104.45</w:t>
            </w:r>
          </w:p>
        </w:tc>
        <w:tc>
          <w:tcPr>
            <w:tcW w:w="1631"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3.61</w:t>
            </w:r>
          </w:p>
        </w:tc>
      </w:tr>
      <w:tr>
        <w:tblPrEx>
          <w:tblW w:w="9072" w:type="dxa"/>
          <w:tblInd w:w="-5" w:type="dxa"/>
          <w:tblLook w:val="0000"/>
        </w:tblPrEx>
        <w:trPr>
          <w:trHeight w:val="431"/>
        </w:trPr>
        <w:tc>
          <w:tcPr>
            <w:tcW w:w="2009"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7</w:t>
            </w:r>
          </w:p>
        </w:tc>
        <w:tc>
          <w:tcPr>
            <w:tcW w:w="238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定期存款12502470113000002</w:t>
            </w:r>
          </w:p>
        </w:tc>
        <w:tc>
          <w:tcPr>
            <w:tcW w:w="304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18,562,104.45</w:t>
            </w:r>
          </w:p>
        </w:tc>
        <w:tc>
          <w:tcPr>
            <w:tcW w:w="1631"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3.61</w:t>
            </w:r>
          </w:p>
        </w:tc>
      </w:tr>
      <w:tr>
        <w:tblPrEx>
          <w:tblW w:w="9072" w:type="dxa"/>
          <w:tblInd w:w="-5" w:type="dxa"/>
          <w:tblLook w:val="0000"/>
        </w:tblPrEx>
        <w:trPr>
          <w:trHeight w:val="431"/>
        </w:trPr>
        <w:tc>
          <w:tcPr>
            <w:tcW w:w="2009"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8</w:t>
            </w:r>
          </w:p>
        </w:tc>
        <w:tc>
          <w:tcPr>
            <w:tcW w:w="238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21建设银行二级01</w:t>
            </w:r>
          </w:p>
        </w:tc>
        <w:tc>
          <w:tcPr>
            <w:tcW w:w="304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13,376,711.51</w:t>
            </w:r>
          </w:p>
        </w:tc>
        <w:tc>
          <w:tcPr>
            <w:tcW w:w="1631"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2.60</w:t>
            </w:r>
          </w:p>
        </w:tc>
      </w:tr>
      <w:tr>
        <w:tblPrEx>
          <w:tblW w:w="9072" w:type="dxa"/>
          <w:tblInd w:w="-5" w:type="dxa"/>
          <w:tblLook w:val="0000"/>
        </w:tblPrEx>
        <w:trPr>
          <w:trHeight w:val="431"/>
        </w:trPr>
        <w:tc>
          <w:tcPr>
            <w:tcW w:w="2009"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9</w:t>
            </w:r>
          </w:p>
        </w:tc>
        <w:tc>
          <w:tcPr>
            <w:tcW w:w="238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25昆山创业SCP004</w:t>
            </w:r>
          </w:p>
        </w:tc>
        <w:tc>
          <w:tcPr>
            <w:tcW w:w="304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13,136,321.74</w:t>
            </w:r>
          </w:p>
        </w:tc>
        <w:tc>
          <w:tcPr>
            <w:tcW w:w="1631"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2.55</w:t>
            </w:r>
          </w:p>
        </w:tc>
      </w:tr>
      <w:tr>
        <w:tblPrEx>
          <w:tblW w:w="9072" w:type="dxa"/>
          <w:tblInd w:w="-5" w:type="dxa"/>
          <w:tblLook w:val="0000"/>
        </w:tblPrEx>
        <w:trPr>
          <w:trHeight w:val="431"/>
        </w:trPr>
        <w:tc>
          <w:tcPr>
            <w:tcW w:w="2009"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10</w:t>
            </w:r>
          </w:p>
        </w:tc>
        <w:tc>
          <w:tcPr>
            <w:tcW w:w="238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定期存款12502470126000001</w:t>
            </w:r>
          </w:p>
        </w:tc>
        <w:tc>
          <w:tcPr>
            <w:tcW w:w="304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12,410,882.79</w:t>
            </w:r>
          </w:p>
        </w:tc>
        <w:tc>
          <w:tcPr>
            <w:tcW w:w="1631"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2.41</w:t>
            </w:r>
          </w:p>
        </w:tc>
      </w:tr>
    </w:tbl>
    <w:p w:rsidR="00EA25B3" w:rsidP="005016D1">
      <w:pPr>
        <w:rPr>
          <w:rFonts w:ascii="宋体" w:hAnsi="宋体"/>
          <w:szCs w:val="21"/>
          <w:shd w:val="clear" w:color="auto" w:fill="FFFFFF"/>
        </w:rPr>
      </w:pPr>
      <w:r>
        <w:rPr>
          <w:rFonts w:ascii="宋体" w:hAnsi="宋体" w:hint="eastAsia"/>
          <w:szCs w:val="21"/>
          <w:shd w:val="clear" w:color="auto" w:fill="FFFFFF"/>
        </w:rPr>
        <w:t>注：</w:t>
      </w:r>
    </w:p>
    <w:p w:rsidR="005016D1" w:rsidRPr="005016D1" w:rsidP="005016D1">
      <w:r w:rsidRPr="005016D1">
        <w:t>1.</w:t>
      </w:r>
      <w:r w:rsidRPr="005016D1">
        <w:rPr>
          <w:rFonts w:ascii="宋体" w:hAnsi="宋体" w:hint="eastAsia"/>
        </w:rPr>
        <w:t>本表格列示穿透后投资规模占比较高的前十项资产，不包括现金、活期存款、备付金、保证金、同业拆借及回购等资产。</w:t>
      </w:r>
    </w:p>
    <w:p w:rsidR="005016D1" w:rsidRPr="005016D1" w:rsidP="005016D1">
      <w:r w:rsidRPr="005016D1">
        <w:rPr>
          <w:rFonts w:hint="eastAsia"/>
        </w:rPr>
        <w:t>2.</w:t>
      </w:r>
      <w:r w:rsidRPr="005016D1">
        <w:rPr>
          <w:rFonts w:ascii="宋体" w:hAnsi="宋体" w:hint="eastAsia"/>
        </w:rPr>
        <w:t>金额中包含资产应计利息、其他应收款项、清算款项和待摊费用。</w:t>
      </w:r>
    </w:p>
    <w:p w:rsidR="005016D1" w:rsidRPr="005016D1" w:rsidP="005016D1">
      <w:r w:rsidRPr="005016D1">
        <w:rPr>
          <w:rFonts w:hint="eastAsia"/>
        </w:rPr>
        <w:t>3.</w:t>
      </w:r>
      <w:r w:rsidRPr="005016D1">
        <w:rPr>
          <w:rFonts w:ascii="宋体" w:hAnsi="宋体" w:hint="eastAsia"/>
        </w:rPr>
        <w:t>占</w:t>
      </w:r>
      <w:r w:rsidRPr="005016D1">
        <w:rPr>
          <w:rFonts w:ascii="宋体" w:hAnsi="宋体"/>
        </w:rPr>
        <w:t>产品</w:t>
      </w:r>
      <w:r w:rsidRPr="005016D1">
        <w:rPr>
          <w:rFonts w:ascii="宋体" w:hAnsi="宋体" w:hint="eastAsia"/>
        </w:rPr>
        <w:t>净</w:t>
      </w:r>
      <w:r w:rsidRPr="005016D1">
        <w:rPr>
          <w:rFonts w:ascii="宋体" w:hAnsi="宋体"/>
        </w:rPr>
        <w:t>资产的比例</w:t>
      </w:r>
      <w:r w:rsidRPr="005016D1">
        <w:t>=</w:t>
      </w:r>
      <w:r w:rsidRPr="005016D1">
        <w:rPr>
          <w:rFonts w:ascii="宋体" w:hAnsi="宋体"/>
        </w:rPr>
        <w:t>资产</w:t>
      </w:r>
      <w:r w:rsidRPr="005016D1">
        <w:rPr>
          <w:rFonts w:ascii="宋体" w:hAnsi="宋体" w:hint="eastAsia"/>
        </w:rPr>
        <w:t>余额</w:t>
      </w:r>
      <w:r w:rsidRPr="005016D1">
        <w:rPr>
          <w:rFonts w:hint="eastAsia"/>
        </w:rPr>
        <w:t>/</w:t>
      </w:r>
      <w:r w:rsidRPr="005016D1">
        <w:rPr>
          <w:rFonts w:ascii="宋体" w:hAnsi="宋体" w:hint="eastAsia"/>
        </w:rPr>
        <w:t>产品净</w:t>
      </w:r>
      <w:r w:rsidRPr="005016D1">
        <w:rPr>
          <w:rFonts w:ascii="宋体" w:hAnsi="宋体"/>
        </w:rPr>
        <w:t>资产，</w:t>
      </w:r>
      <w:r w:rsidRPr="005016D1">
        <w:rPr>
          <w:rFonts w:ascii="宋体" w:hAnsi="宋体" w:hint="eastAsia"/>
        </w:rPr>
        <w:t>占比</w:t>
      </w:r>
      <w:r w:rsidRPr="005016D1">
        <w:rPr>
          <w:rFonts w:ascii="宋体" w:hAnsi="宋体"/>
        </w:rPr>
        <w:t>结果</w:t>
      </w:r>
      <w:r w:rsidRPr="005016D1">
        <w:rPr>
          <w:rFonts w:ascii="宋体" w:hAnsi="宋体" w:hint="eastAsia"/>
        </w:rPr>
        <w:t>保留两位小数（因第二位小数四舍五入，可能存在尾差）。</w:t>
      </w:r>
    </w:p>
    <w:p w:rsidR="0038453A" w:rsidP="0038453A">
      <w:pPr>
        <w:pStyle w:val="Heading2"/>
        <w:rPr>
          <w:sz w:val="24"/>
          <w:szCs w:val="24"/>
          <w:shd w:val="clear" w:color="auto" w:fill="FFFFFF"/>
        </w:rPr>
      </w:pPr>
      <w:bookmarkStart w:id="29" w:name="_Toc256000014"/>
      <w:r>
        <w:rPr>
          <w:b/>
          <w:i w:val="0"/>
          <w:color w:val="000000"/>
          <w:position w:val="-1"/>
          <w:sz w:val="24"/>
          <w:u w:val="none"/>
        </w:rPr>
        <w:t>5.3 报告期末非标准化债权类资产信息</w:t>
      </w:r>
      <w:bookmarkEnd w:id="29"/>
    </w:p>
    <w:tbl>
      <w:tblPr>
        <w:tblStyle w:val="TableGrid"/>
        <w:tblW w:w="9067" w:type="dxa"/>
        <w:tblInd w:w="0" w:type="dxa"/>
        <w:tblLook w:val="04A0"/>
      </w:tblPr>
      <w:tblGrid>
        <w:gridCol w:w="2122"/>
        <w:gridCol w:w="1701"/>
        <w:gridCol w:w="2268"/>
        <w:gridCol w:w="1417"/>
        <w:gridCol w:w="1559"/>
      </w:tblGrid>
      <w:tr w:rsidTr="0038453A">
        <w:tblPrEx>
          <w:tblW w:w="9067" w:type="dxa"/>
          <w:tblInd w:w="0" w:type="dxa"/>
          <w:tblLook w:val="04A0"/>
        </w:tblPrEx>
        <w:tc>
          <w:tcPr>
            <w:tcW w:w="2122" w:type="dxa"/>
            <w:tcBorders>
              <w:top w:val="single" w:sz="4" w:space="0" w:color="auto"/>
              <w:left w:val="single" w:sz="4" w:space="0" w:color="auto"/>
              <w:bottom w:val="single" w:sz="4" w:space="0" w:color="auto"/>
              <w:right w:val="single" w:sz="4" w:space="0" w:color="auto"/>
            </w:tcBorders>
            <w:shd w:val="clear" w:color="auto" w:fill="BEBEBE"/>
            <w:vAlign w:val="center"/>
            <w:hideMark/>
          </w:tcPr>
          <w:p w:rsidR="0038453A">
            <w:pPr>
              <w:widowControl/>
              <w:jc w:val="center"/>
              <w:rPr>
                <w:rFonts w:ascii="宋体" w:hAnsi="宋体"/>
                <w:b/>
                <w:sz w:val="21"/>
              </w:rPr>
            </w:pPr>
            <w:r>
              <w:rPr>
                <w:rFonts w:ascii="宋体" w:hAnsi="宋体" w:hint="eastAsia"/>
                <w:b/>
              </w:rPr>
              <w:t>资产名称</w:t>
            </w:r>
          </w:p>
        </w:tc>
        <w:tc>
          <w:tcPr>
            <w:tcW w:w="1701" w:type="dxa"/>
            <w:tcBorders>
              <w:top w:val="single" w:sz="4" w:space="0" w:color="auto"/>
              <w:left w:val="single" w:sz="4" w:space="0" w:color="auto"/>
              <w:bottom w:val="single" w:sz="4" w:space="0" w:color="auto"/>
              <w:right w:val="single" w:sz="4" w:space="0" w:color="auto"/>
            </w:tcBorders>
            <w:shd w:val="clear" w:color="auto" w:fill="BEBEBE"/>
            <w:vAlign w:val="center"/>
            <w:hideMark/>
          </w:tcPr>
          <w:p w:rsidR="0038453A">
            <w:pPr>
              <w:widowControl/>
              <w:jc w:val="center"/>
              <w:rPr>
                <w:rFonts w:ascii="宋体" w:hAnsi="宋体"/>
                <w:b/>
              </w:rPr>
            </w:pPr>
            <w:r>
              <w:rPr>
                <w:rFonts w:ascii="宋体" w:hAnsi="宋体" w:hint="eastAsia"/>
                <w:b/>
              </w:rPr>
              <w:t>融资客户名称</w:t>
            </w:r>
          </w:p>
        </w:tc>
        <w:tc>
          <w:tcPr>
            <w:tcW w:w="2268" w:type="dxa"/>
            <w:tcBorders>
              <w:top w:val="single" w:sz="4" w:space="0" w:color="auto"/>
              <w:left w:val="single" w:sz="4" w:space="0" w:color="auto"/>
              <w:bottom w:val="single" w:sz="4" w:space="0" w:color="auto"/>
              <w:right w:val="single" w:sz="4" w:space="0" w:color="auto"/>
            </w:tcBorders>
            <w:shd w:val="clear" w:color="auto" w:fill="BEBEBE"/>
            <w:vAlign w:val="center"/>
            <w:hideMark/>
          </w:tcPr>
          <w:p w:rsidR="0038453A">
            <w:pPr>
              <w:widowControl/>
              <w:jc w:val="center"/>
              <w:rPr>
                <w:rFonts w:ascii="宋体" w:hAnsi="宋体"/>
                <w:b/>
              </w:rPr>
            </w:pPr>
            <w:r>
              <w:rPr>
                <w:rFonts w:ascii="宋体" w:hAnsi="宋体" w:hint="eastAsia"/>
                <w:b/>
              </w:rPr>
              <w:t>项目剩余融资期限</w:t>
            </w:r>
          </w:p>
          <w:p w:rsidR="0038453A">
            <w:pPr>
              <w:widowControl/>
              <w:jc w:val="center"/>
              <w:rPr>
                <w:rFonts w:ascii="宋体" w:hAnsi="宋体"/>
                <w:b/>
              </w:rPr>
            </w:pPr>
            <w:r>
              <w:rPr>
                <w:rFonts w:ascii="宋体" w:hAnsi="宋体" w:hint="eastAsia"/>
                <w:b/>
              </w:rPr>
              <w:t>（单位：天）</w:t>
            </w:r>
          </w:p>
        </w:tc>
        <w:tc>
          <w:tcPr>
            <w:tcW w:w="1417" w:type="dxa"/>
            <w:tcBorders>
              <w:top w:val="single" w:sz="4" w:space="0" w:color="auto"/>
              <w:left w:val="single" w:sz="4" w:space="0" w:color="auto"/>
              <w:bottom w:val="single" w:sz="4" w:space="0" w:color="auto"/>
              <w:right w:val="single" w:sz="4" w:space="0" w:color="auto"/>
            </w:tcBorders>
            <w:shd w:val="clear" w:color="auto" w:fill="BEBEBE"/>
            <w:vAlign w:val="center"/>
            <w:hideMark/>
          </w:tcPr>
          <w:p w:rsidR="0038453A">
            <w:pPr>
              <w:widowControl/>
              <w:jc w:val="center"/>
              <w:rPr>
                <w:rFonts w:ascii="宋体" w:hAnsi="宋体"/>
                <w:b/>
              </w:rPr>
            </w:pPr>
            <w:r>
              <w:rPr>
                <w:rFonts w:ascii="宋体" w:hAnsi="宋体" w:hint="eastAsia"/>
                <w:b/>
              </w:rPr>
              <w:t>交易结构</w:t>
            </w:r>
          </w:p>
        </w:tc>
        <w:tc>
          <w:tcPr>
            <w:tcW w:w="1559" w:type="dxa"/>
            <w:tcBorders>
              <w:top w:val="single" w:sz="4" w:space="0" w:color="auto"/>
              <w:left w:val="single" w:sz="4" w:space="0" w:color="auto"/>
              <w:bottom w:val="single" w:sz="4" w:space="0" w:color="auto"/>
              <w:right w:val="single" w:sz="4" w:space="0" w:color="auto"/>
            </w:tcBorders>
            <w:shd w:val="clear" w:color="auto" w:fill="BEBEBE"/>
            <w:vAlign w:val="center"/>
            <w:hideMark/>
          </w:tcPr>
          <w:p w:rsidR="0038453A">
            <w:pPr>
              <w:widowControl/>
              <w:jc w:val="center"/>
              <w:rPr>
                <w:rFonts w:ascii="宋体" w:hAnsi="宋体"/>
                <w:b/>
              </w:rPr>
            </w:pPr>
            <w:r>
              <w:rPr>
                <w:rFonts w:ascii="宋体" w:hAnsi="宋体" w:hint="eastAsia"/>
                <w:b/>
              </w:rPr>
              <w:t>风险状况</w:t>
            </w:r>
          </w:p>
        </w:tc>
      </w:tr>
      <w:tr w:rsidTr="0038453A">
        <w:tblPrEx>
          <w:tblW w:w="9067" w:type="dxa"/>
          <w:tblInd w:w="0" w:type="dxa"/>
          <w:tblLook w:val="04A0"/>
        </w:tblPrEx>
        <w:trPr>
          <w:trHeight w:val="431"/>
        </w:trPr>
        <w:tc>
          <w:tcPr>
            <w:tcW w:w="2122" w:type="dxa"/>
            <w:tcBorders>
              <w:top w:val="single" w:sz="4" w:space="0" w:color="auto"/>
              <w:left w:val="single" w:sz="4" w:space="0" w:color="auto"/>
              <w:bottom w:val="single" w:sz="4" w:space="0" w:color="auto"/>
              <w:right w:val="single" w:sz="4" w:space="0" w:color="auto"/>
            </w:tcBorders>
            <w:vAlign w:val="center"/>
            <w:hideMark/>
          </w:tcPr>
          <w:p>
            <w:pPr>
              <w:ind w:left="-1" w:right="-1"/>
              <w:jc w:val="center"/>
            </w:pPr>
            <w:r>
              <w:rPr>
                <w:rFonts w:ascii="宋体" w:eastAsia="宋体" w:hAnsi="宋体" w:cs="宋体"/>
                <w:b w:val="0"/>
                <w:i w:val="0"/>
                <w:color w:val="000000"/>
                <w:spacing w:val="0"/>
                <w:position w:val="-1"/>
                <w:u w:val="none"/>
                <w:vertAlign w:val="baseline"/>
              </w:rPr>
              <w:t>-</w:t>
            </w:r>
          </w:p>
        </w:tc>
        <w:tc>
          <w:tcPr>
            <w:tcW w:w="1701" w:type="dxa"/>
            <w:tcBorders>
              <w:top w:val="single" w:sz="4" w:space="0" w:color="auto"/>
              <w:left w:val="single" w:sz="4" w:space="0" w:color="auto"/>
              <w:bottom w:val="single" w:sz="4" w:space="0" w:color="auto"/>
              <w:right w:val="single" w:sz="4" w:space="0" w:color="auto"/>
            </w:tcBorders>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2268" w:type="dxa"/>
            <w:tcBorders>
              <w:top w:val="single" w:sz="4" w:space="0" w:color="auto"/>
              <w:left w:val="single" w:sz="4" w:space="0" w:color="auto"/>
              <w:bottom w:val="single" w:sz="4" w:space="0" w:color="auto"/>
              <w:right w:val="single" w:sz="4" w:space="0" w:color="auto"/>
            </w:tcBorders>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1417" w:type="dxa"/>
            <w:tcBorders>
              <w:top w:val="single" w:sz="4" w:space="0" w:color="auto"/>
              <w:left w:val="single" w:sz="4" w:space="0" w:color="auto"/>
              <w:bottom w:val="single" w:sz="4" w:space="0" w:color="auto"/>
              <w:right w:val="single" w:sz="4" w:space="0" w:color="auto"/>
            </w:tcBorders>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1559" w:type="dxa"/>
            <w:tcBorders>
              <w:top w:val="single" w:sz="4" w:space="0" w:color="auto"/>
              <w:left w:val="single" w:sz="4" w:space="0" w:color="auto"/>
              <w:bottom w:val="single" w:sz="4" w:space="0" w:color="auto"/>
              <w:right w:val="single" w:sz="4" w:space="0" w:color="auto"/>
            </w:tcBorders>
            <w:vAlign w:val="center"/>
          </w:tcPr>
          <w:p>
            <w:pPr>
              <w:ind w:left="-1" w:right="-1"/>
              <w:jc w:val="center"/>
            </w:pPr>
            <w:r>
              <w:rPr>
                <w:rFonts w:ascii="宋体" w:eastAsia="宋体" w:hAnsi="宋体" w:cs="宋体"/>
                <w:b w:val="0"/>
                <w:i w:val="0"/>
                <w:color w:val="000000"/>
                <w:spacing w:val="0"/>
                <w:position w:val="-1"/>
                <w:u w:val="none"/>
                <w:vertAlign w:val="baseline"/>
              </w:rPr>
              <w:t>-</w:t>
            </w:r>
          </w:p>
        </w:tc>
      </w:tr>
    </w:tbl>
    <w:p w:rsidR="00813929" w:rsidRPr="0038453A" w:rsidP="0038453A">
      <w:r>
        <w:rPr>
          <w:rFonts w:ascii="宋体" w:hAnsi="宋体" w:hint="eastAsia"/>
          <w:shd w:val="clear" w:color="auto" w:fill="FFFFFF"/>
        </w:rPr>
        <w:t>注：项目剩余融资期限为非标准化债权类资产自报告期末至项目结束之间的期限，如该笔资产在报告期内已到期或已卖出，则显示为“</w:t>
      </w:r>
      <w:r>
        <w:rPr>
          <w:rFonts w:hint="eastAsia"/>
          <w:shd w:val="clear" w:color="auto" w:fill="FFFFFF"/>
        </w:rPr>
        <w:t>-</w:t>
      </w:r>
      <w:r>
        <w:rPr>
          <w:rFonts w:ascii="宋体" w:hAnsi="宋体" w:hint="eastAsia"/>
          <w:shd w:val="clear" w:color="auto" w:fill="FFFFFF"/>
        </w:rPr>
        <w:t>”。</w:t>
      </w:r>
    </w:p>
    <w:p w:rsidR="00A10263" w:rsidP="00A10263">
      <w:pPr>
        <w:pStyle w:val="Heading2"/>
        <w:rPr>
          <w:sz w:val="24"/>
          <w:szCs w:val="24"/>
          <w:shd w:val="clear" w:color="auto" w:fill="FFFFFF"/>
        </w:rPr>
      </w:pPr>
      <w:bookmarkStart w:id="30" w:name="_Toc256000015"/>
      <w:r>
        <w:rPr>
          <w:b/>
          <w:i w:val="0"/>
          <w:color w:val="000000"/>
          <w:position w:val="-1"/>
          <w:sz w:val="24"/>
          <w:u w:val="none"/>
        </w:rPr>
        <w:t>5.4 报告期内到期的非标准化债权类资产及收益情况</w:t>
      </w:r>
      <w:bookmarkEnd w:id="30"/>
    </w:p>
    <w:tbl>
      <w:tblPr>
        <w:tblStyle w:val="TableGrid"/>
        <w:tblW w:w="9060" w:type="dxa"/>
        <w:tblInd w:w="0" w:type="dxa"/>
        <w:tblLook w:val="04A0"/>
      </w:tblPr>
      <w:tblGrid>
        <w:gridCol w:w="1953"/>
        <w:gridCol w:w="1188"/>
        <w:gridCol w:w="1543"/>
        <w:gridCol w:w="1123"/>
        <w:gridCol w:w="1133"/>
        <w:gridCol w:w="2120"/>
      </w:tblGrid>
      <w:tr w:rsidTr="00A10263">
        <w:tblPrEx>
          <w:tblW w:w="9060" w:type="dxa"/>
          <w:tblInd w:w="0" w:type="dxa"/>
          <w:tblLook w:val="04A0"/>
        </w:tblPrEx>
        <w:tc>
          <w:tcPr>
            <w:tcW w:w="1953" w:type="dxa"/>
            <w:tcBorders>
              <w:top w:val="single" w:sz="4" w:space="0" w:color="auto"/>
              <w:left w:val="single" w:sz="4" w:space="0" w:color="auto"/>
              <w:bottom w:val="single" w:sz="4" w:space="0" w:color="auto"/>
              <w:right w:val="single" w:sz="4" w:space="0" w:color="auto"/>
            </w:tcBorders>
            <w:shd w:val="clear" w:color="auto" w:fill="BEBEBE"/>
            <w:vAlign w:val="center"/>
            <w:hideMark/>
          </w:tcPr>
          <w:p w:rsidR="00A10263">
            <w:pPr>
              <w:widowControl/>
              <w:jc w:val="center"/>
              <w:rPr>
                <w:rFonts w:ascii="宋体" w:hAnsi="宋体"/>
                <w:b/>
                <w:sz w:val="21"/>
              </w:rPr>
            </w:pPr>
            <w:r>
              <w:rPr>
                <w:rFonts w:ascii="宋体" w:hAnsi="宋体" w:hint="eastAsia"/>
                <w:b/>
              </w:rPr>
              <w:t>资产名称</w:t>
            </w:r>
          </w:p>
        </w:tc>
        <w:tc>
          <w:tcPr>
            <w:tcW w:w="1188" w:type="dxa"/>
            <w:tcBorders>
              <w:top w:val="single" w:sz="4" w:space="0" w:color="auto"/>
              <w:left w:val="single" w:sz="4" w:space="0" w:color="auto"/>
              <w:bottom w:val="single" w:sz="4" w:space="0" w:color="auto"/>
              <w:right w:val="single" w:sz="4" w:space="0" w:color="auto"/>
            </w:tcBorders>
            <w:shd w:val="clear" w:color="auto" w:fill="BEBEBE"/>
            <w:vAlign w:val="center"/>
            <w:hideMark/>
          </w:tcPr>
          <w:p w:rsidR="00A10263">
            <w:pPr>
              <w:widowControl/>
              <w:jc w:val="center"/>
              <w:rPr>
                <w:rFonts w:ascii="宋体" w:hAnsi="宋体"/>
                <w:b/>
              </w:rPr>
            </w:pPr>
            <w:r>
              <w:rPr>
                <w:rFonts w:ascii="宋体" w:hAnsi="宋体" w:hint="eastAsia"/>
                <w:b/>
              </w:rPr>
              <w:t>融资客户名称</w:t>
            </w:r>
          </w:p>
        </w:tc>
        <w:tc>
          <w:tcPr>
            <w:tcW w:w="1543" w:type="dxa"/>
            <w:tcBorders>
              <w:top w:val="single" w:sz="4" w:space="0" w:color="auto"/>
              <w:left w:val="single" w:sz="4" w:space="0" w:color="auto"/>
              <w:bottom w:val="single" w:sz="4" w:space="0" w:color="auto"/>
              <w:right w:val="single" w:sz="4" w:space="0" w:color="auto"/>
            </w:tcBorders>
            <w:shd w:val="clear" w:color="auto" w:fill="BEBEBE"/>
            <w:vAlign w:val="center"/>
            <w:hideMark/>
          </w:tcPr>
          <w:p w:rsidR="00A10263">
            <w:pPr>
              <w:widowControl/>
              <w:jc w:val="center"/>
              <w:rPr>
                <w:rFonts w:ascii="宋体" w:hAnsi="宋体"/>
                <w:b/>
              </w:rPr>
            </w:pPr>
            <w:r>
              <w:rPr>
                <w:rFonts w:ascii="宋体" w:hAnsi="宋体" w:hint="eastAsia"/>
                <w:b/>
              </w:rPr>
              <w:t>项目剩余融资期限</w:t>
            </w:r>
          </w:p>
          <w:p w:rsidR="00A10263">
            <w:pPr>
              <w:widowControl/>
              <w:jc w:val="center"/>
              <w:rPr>
                <w:rFonts w:ascii="宋体" w:hAnsi="宋体"/>
                <w:b/>
              </w:rPr>
            </w:pPr>
            <w:r>
              <w:rPr>
                <w:rFonts w:ascii="宋体" w:hAnsi="宋体" w:hint="eastAsia"/>
                <w:b/>
              </w:rPr>
              <w:t>（单位：天）</w:t>
            </w:r>
          </w:p>
        </w:tc>
        <w:tc>
          <w:tcPr>
            <w:tcW w:w="1123" w:type="dxa"/>
            <w:tcBorders>
              <w:top w:val="single" w:sz="4" w:space="0" w:color="auto"/>
              <w:left w:val="single" w:sz="4" w:space="0" w:color="auto"/>
              <w:bottom w:val="single" w:sz="4" w:space="0" w:color="auto"/>
              <w:right w:val="single" w:sz="4" w:space="0" w:color="auto"/>
            </w:tcBorders>
            <w:shd w:val="clear" w:color="auto" w:fill="BEBEBE"/>
            <w:vAlign w:val="center"/>
            <w:hideMark/>
          </w:tcPr>
          <w:p w:rsidR="00A10263">
            <w:pPr>
              <w:widowControl/>
              <w:jc w:val="center"/>
              <w:rPr>
                <w:rFonts w:ascii="宋体" w:hAnsi="宋体"/>
                <w:b/>
              </w:rPr>
            </w:pPr>
            <w:r>
              <w:rPr>
                <w:rFonts w:ascii="宋体" w:hAnsi="宋体" w:hint="eastAsia"/>
                <w:b/>
              </w:rPr>
              <w:t>交易结构</w:t>
            </w:r>
          </w:p>
        </w:tc>
        <w:tc>
          <w:tcPr>
            <w:tcW w:w="1133" w:type="dxa"/>
            <w:tcBorders>
              <w:top w:val="single" w:sz="4" w:space="0" w:color="auto"/>
              <w:left w:val="single" w:sz="4" w:space="0" w:color="auto"/>
              <w:bottom w:val="single" w:sz="4" w:space="0" w:color="auto"/>
              <w:right w:val="single" w:sz="4" w:space="0" w:color="auto"/>
            </w:tcBorders>
            <w:shd w:val="clear" w:color="auto" w:fill="BEBEBE"/>
            <w:vAlign w:val="center"/>
            <w:hideMark/>
          </w:tcPr>
          <w:p w:rsidR="00A10263">
            <w:pPr>
              <w:widowControl/>
              <w:jc w:val="center"/>
              <w:rPr>
                <w:rFonts w:ascii="宋体" w:hAnsi="宋体"/>
                <w:b/>
              </w:rPr>
            </w:pPr>
            <w:r>
              <w:rPr>
                <w:rFonts w:ascii="宋体" w:hAnsi="宋体" w:hint="eastAsia"/>
                <w:b/>
              </w:rPr>
              <w:t>风险状况</w:t>
            </w:r>
          </w:p>
        </w:tc>
        <w:tc>
          <w:tcPr>
            <w:tcW w:w="2120" w:type="dxa"/>
            <w:tcBorders>
              <w:top w:val="single" w:sz="4" w:space="0" w:color="auto"/>
              <w:left w:val="single" w:sz="4" w:space="0" w:color="auto"/>
              <w:bottom w:val="single" w:sz="4" w:space="0" w:color="auto"/>
              <w:right w:val="single" w:sz="4" w:space="0" w:color="auto"/>
            </w:tcBorders>
            <w:shd w:val="clear" w:color="auto" w:fill="BEBEBE"/>
            <w:vAlign w:val="center"/>
            <w:hideMark/>
          </w:tcPr>
          <w:p w:rsidR="00A10263">
            <w:pPr>
              <w:widowControl/>
              <w:jc w:val="center"/>
              <w:rPr>
                <w:rFonts w:ascii="宋体" w:hAnsi="宋体"/>
                <w:b/>
              </w:rPr>
            </w:pPr>
            <w:r>
              <w:rPr>
                <w:rFonts w:ascii="宋体" w:hAnsi="宋体" w:hint="eastAsia"/>
                <w:b/>
              </w:rPr>
              <w:t>投资收益</w:t>
            </w:r>
          </w:p>
          <w:p w:rsidR="00A10263">
            <w:pPr>
              <w:widowControl/>
              <w:jc w:val="center"/>
              <w:rPr>
                <w:rFonts w:ascii="宋体" w:hAnsi="宋体"/>
                <w:b/>
              </w:rPr>
            </w:pPr>
            <w:r>
              <w:rPr>
                <w:rFonts w:ascii="宋体" w:eastAsia="宋体" w:hAnsi="宋体" w:cs="宋体"/>
                <w:b/>
                <w:i w:val="0"/>
                <w:color w:val="000000"/>
                <w:position w:val="-1"/>
                <w:u w:val="none"/>
              </w:rPr>
              <w:t>（单位：元）</w:t>
            </w:r>
          </w:p>
        </w:tc>
      </w:tr>
      <w:tr w:rsidTr="00A10263">
        <w:tblPrEx>
          <w:tblW w:w="9060" w:type="dxa"/>
          <w:tblInd w:w="0" w:type="dxa"/>
          <w:tblLook w:val="04A0"/>
        </w:tblPrEx>
        <w:trPr>
          <w:trHeight w:val="431"/>
        </w:trPr>
        <w:tc>
          <w:tcPr>
            <w:tcW w:w="1953" w:type="dxa"/>
            <w:tcBorders>
              <w:top w:val="single" w:sz="4" w:space="0" w:color="auto"/>
              <w:left w:val="single" w:sz="4" w:space="0" w:color="auto"/>
              <w:bottom w:val="single" w:sz="4" w:space="0" w:color="auto"/>
              <w:right w:val="single" w:sz="4" w:space="0" w:color="auto"/>
            </w:tcBorders>
            <w:vAlign w:val="center"/>
            <w:hideMark/>
          </w:tcPr>
          <w:p>
            <w:pPr>
              <w:ind w:left="-1" w:right="-1"/>
              <w:jc w:val="center"/>
            </w:pPr>
            <w:r>
              <w:rPr>
                <w:rFonts w:ascii="宋体" w:eastAsia="宋体" w:hAnsi="宋体" w:cs="宋体"/>
                <w:b w:val="0"/>
                <w:i w:val="0"/>
                <w:color w:val="000000"/>
                <w:spacing w:val="0"/>
                <w:position w:val="-1"/>
                <w:u w:val="none"/>
                <w:vertAlign w:val="baseline"/>
              </w:rPr>
              <w:t>-</w:t>
            </w:r>
          </w:p>
        </w:tc>
        <w:tc>
          <w:tcPr>
            <w:tcW w:w="1188" w:type="dxa"/>
            <w:tcBorders>
              <w:top w:val="single" w:sz="4" w:space="0" w:color="auto"/>
              <w:left w:val="single" w:sz="4" w:space="0" w:color="auto"/>
              <w:bottom w:val="single" w:sz="4" w:space="0" w:color="auto"/>
              <w:right w:val="single" w:sz="4" w:space="0" w:color="auto"/>
            </w:tcBorders>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1543" w:type="dxa"/>
            <w:tcBorders>
              <w:top w:val="single" w:sz="4" w:space="0" w:color="auto"/>
              <w:left w:val="single" w:sz="4" w:space="0" w:color="auto"/>
              <w:bottom w:val="single" w:sz="4" w:space="0" w:color="auto"/>
              <w:right w:val="single" w:sz="4" w:space="0" w:color="auto"/>
            </w:tcBorders>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1123" w:type="dxa"/>
            <w:tcBorders>
              <w:top w:val="single" w:sz="4" w:space="0" w:color="auto"/>
              <w:left w:val="single" w:sz="4" w:space="0" w:color="auto"/>
              <w:bottom w:val="single" w:sz="4" w:space="0" w:color="auto"/>
              <w:right w:val="single" w:sz="4" w:space="0" w:color="auto"/>
            </w:tcBorders>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1133" w:type="dxa"/>
            <w:tcBorders>
              <w:top w:val="single" w:sz="4" w:space="0" w:color="auto"/>
              <w:left w:val="single" w:sz="4" w:space="0" w:color="auto"/>
              <w:bottom w:val="single" w:sz="4" w:space="0" w:color="auto"/>
              <w:right w:val="single" w:sz="4" w:space="0" w:color="auto"/>
            </w:tcBorders>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2120" w:type="dxa"/>
            <w:tcBorders>
              <w:top w:val="single" w:sz="4" w:space="0" w:color="auto"/>
              <w:left w:val="single" w:sz="4" w:space="0" w:color="auto"/>
              <w:bottom w:val="single" w:sz="4" w:space="0" w:color="auto"/>
              <w:right w:val="single" w:sz="4" w:space="0" w:color="auto"/>
            </w:tcBorders>
            <w:vAlign w:val="center"/>
          </w:tcPr>
          <w:p>
            <w:pPr>
              <w:ind w:left="-1" w:right="-1"/>
              <w:jc w:val="center"/>
            </w:pPr>
            <w:r>
              <w:rPr>
                <w:rFonts w:ascii="宋体" w:eastAsia="宋体" w:hAnsi="宋体" w:cs="宋体"/>
                <w:b w:val="0"/>
                <w:i w:val="0"/>
                <w:color w:val="000000"/>
                <w:spacing w:val="0"/>
                <w:position w:val="-1"/>
                <w:u w:val="none"/>
                <w:vertAlign w:val="baseline"/>
              </w:rPr>
              <w:t>-</w:t>
            </w:r>
          </w:p>
        </w:tc>
      </w:tr>
    </w:tbl>
    <w:p w:rsidR="00A10263" w:rsidP="00A10263">
      <w:pPr>
        <w:rPr>
          <w:shd w:val="clear" w:color="auto" w:fill="FFFFFF"/>
        </w:rPr>
      </w:pPr>
      <w:r>
        <w:rPr>
          <w:rFonts w:ascii="宋体" w:hAnsi="宋体" w:hint="eastAsia"/>
          <w:shd w:val="clear" w:color="auto" w:fill="FFFFFF"/>
        </w:rPr>
        <w:t>注：</w:t>
      </w:r>
    </w:p>
    <w:p w:rsidR="00A10263" w:rsidP="00A10263">
      <w:pPr>
        <w:rPr>
          <w:shd w:val="clear" w:color="auto" w:fill="FFFFFF"/>
        </w:rPr>
      </w:pPr>
      <w:r>
        <w:rPr>
          <w:rFonts w:ascii="宋体" w:hAnsi="宋体" w:hint="eastAsia"/>
          <w:shd w:val="clear" w:color="auto" w:fill="FFFFFF"/>
        </w:rPr>
        <w:t>1.项目剩余融资期限为非标准化债权类资产自报告期末至项目结束之间的期限，如该笔资产在报告期内已到期或已卖出，则显示为“</w:t>
      </w:r>
      <w:r>
        <w:rPr>
          <w:rFonts w:hint="eastAsia"/>
          <w:shd w:val="clear" w:color="auto" w:fill="FFFFFF"/>
        </w:rPr>
        <w:t>-</w:t>
      </w:r>
      <w:r>
        <w:rPr>
          <w:rFonts w:ascii="宋体" w:hAnsi="宋体" w:hint="eastAsia"/>
          <w:shd w:val="clear" w:color="auto" w:fill="FFFFFF"/>
        </w:rPr>
        <w:t>”。</w:t>
      </w:r>
    </w:p>
    <w:p w:rsidR="004D414C" w:rsidRPr="00A10263" w:rsidP="00A10263">
      <w:pPr>
        <w:rPr>
          <w:shd w:val="clear" w:color="auto" w:fill="FFFFFF"/>
        </w:rPr>
      </w:pPr>
      <w:r>
        <w:rPr>
          <w:rFonts w:ascii="宋体" w:hAnsi="宋体" w:hint="eastAsia"/>
          <w:shd w:val="clear" w:color="auto" w:fill="FFFFFF"/>
        </w:rPr>
        <w:t>2.</w:t>
      </w:r>
      <w:r>
        <w:rPr>
          <w:rFonts w:ascii="宋体" w:hAnsi="宋体"/>
          <w:shd w:val="clear" w:color="auto" w:fill="FFFFFF"/>
        </w:rPr>
        <w:t>投资收益为理财产品持有该笔资产期间</w:t>
      </w:r>
      <w:r>
        <w:rPr>
          <w:rFonts w:ascii="宋体" w:hAnsi="宋体" w:hint="eastAsia"/>
        </w:rPr>
        <w:t>的投资收益情况。</w:t>
      </w:r>
    </w:p>
    <w:p w:rsidR="00587ABE" w:rsidP="00587ABE">
      <w:pPr>
        <w:pStyle w:val="Heading2"/>
        <w:rPr>
          <w:sz w:val="24"/>
          <w:szCs w:val="24"/>
          <w:shd w:val="clear" w:color="auto" w:fill="FFFFFF"/>
        </w:rPr>
      </w:pPr>
      <w:bookmarkStart w:id="31" w:name="_Toc256000016"/>
      <w:r>
        <w:rPr>
          <w:b/>
          <w:i w:val="0"/>
          <w:color w:val="000000"/>
          <w:position w:val="-1"/>
          <w:sz w:val="24"/>
          <w:u w:val="none"/>
        </w:rPr>
        <w:t>5.5 报告期末信贷资产收受益权资产信息</w:t>
      </w:r>
      <w:bookmarkEnd w:id="31"/>
    </w:p>
    <w:tbl>
      <w:tblPr>
        <w:tblStyle w:val="TableNormal"/>
        <w:tblW w:w="50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37"/>
        <w:gridCol w:w="2762"/>
        <w:gridCol w:w="3504"/>
      </w:tblGrid>
      <w:tr w:rsidTr="00587ABE">
        <w:tblPrEx>
          <w:tblW w:w="50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65"/>
        </w:trPr>
        <w:tc>
          <w:tcPr>
            <w:tcW w:w="1227" w:type="pct"/>
            <w:tcBorders>
              <w:top w:val="single" w:sz="4" w:space="0" w:color="auto"/>
              <w:left w:val="single" w:sz="4" w:space="0" w:color="auto"/>
              <w:bottom w:val="single" w:sz="4" w:space="0" w:color="auto"/>
              <w:right w:val="single" w:sz="4" w:space="0" w:color="auto"/>
            </w:tcBorders>
            <w:shd w:val="clear" w:color="auto" w:fill="BFBFBF"/>
            <w:vAlign w:val="center"/>
            <w:hideMark/>
          </w:tcPr>
          <w:p w:rsidR="00587ABE">
            <w:pPr>
              <w:widowControl/>
              <w:jc w:val="center"/>
              <w:rPr>
                <w:rFonts w:ascii="宋体" w:hAnsi="宋体"/>
                <w:b/>
                <w:kern w:val="0"/>
                <w:highlight w:val="lightGray"/>
                <w:shd w:val="clear" w:color="auto" w:fill="FFFFFF"/>
              </w:rPr>
            </w:pPr>
            <w:r>
              <w:rPr>
                <w:rFonts w:ascii="宋体" w:hAnsi="宋体" w:hint="eastAsia"/>
                <w:b/>
              </w:rPr>
              <w:t>资产名称</w:t>
            </w:r>
          </w:p>
        </w:tc>
        <w:tc>
          <w:tcPr>
            <w:tcW w:w="1663" w:type="pct"/>
            <w:tcBorders>
              <w:top w:val="single" w:sz="4" w:space="0" w:color="auto"/>
              <w:left w:val="single" w:sz="4" w:space="0" w:color="auto"/>
              <w:bottom w:val="single" w:sz="4" w:space="0" w:color="auto"/>
              <w:right w:val="single" w:sz="4" w:space="0" w:color="auto"/>
            </w:tcBorders>
            <w:shd w:val="clear" w:color="auto" w:fill="BFBFBF"/>
            <w:vAlign w:val="center"/>
            <w:hideMark/>
          </w:tcPr>
          <w:p w:rsidR="00587ABE">
            <w:pPr>
              <w:widowControl/>
              <w:jc w:val="center"/>
              <w:rPr>
                <w:rFonts w:ascii="宋体" w:hAnsi="宋体"/>
                <w:b/>
                <w:kern w:val="0"/>
                <w:highlight w:val="lightGray"/>
                <w:shd w:val="clear" w:color="auto" w:fill="FFFFFF"/>
              </w:rPr>
            </w:pPr>
            <w:r>
              <w:rPr>
                <w:rFonts w:ascii="宋体" w:hAnsi="宋体" w:hint="eastAsia"/>
                <w:b/>
              </w:rPr>
              <w:t>原始权益人名称</w:t>
            </w:r>
          </w:p>
        </w:tc>
        <w:tc>
          <w:tcPr>
            <w:tcW w:w="2110" w:type="pct"/>
            <w:tcBorders>
              <w:top w:val="single" w:sz="4" w:space="0" w:color="auto"/>
              <w:left w:val="single" w:sz="4" w:space="0" w:color="auto"/>
              <w:bottom w:val="single" w:sz="4" w:space="0" w:color="auto"/>
              <w:right w:val="single" w:sz="4" w:space="0" w:color="auto"/>
            </w:tcBorders>
            <w:shd w:val="clear" w:color="auto" w:fill="BFBFBF"/>
            <w:vAlign w:val="center"/>
            <w:hideMark/>
          </w:tcPr>
          <w:p w:rsidR="00587ABE">
            <w:pPr>
              <w:widowControl/>
              <w:jc w:val="center"/>
              <w:rPr>
                <w:rFonts w:ascii="宋体" w:hAnsi="宋体"/>
                <w:b/>
              </w:rPr>
            </w:pPr>
            <w:r>
              <w:rPr>
                <w:rFonts w:ascii="宋体" w:hAnsi="宋体" w:hint="eastAsia"/>
                <w:b/>
              </w:rPr>
              <w:t>项目剩余融资期限</w:t>
            </w:r>
          </w:p>
          <w:p w:rsidR="00587ABE">
            <w:pPr>
              <w:widowControl/>
              <w:jc w:val="center"/>
              <w:rPr>
                <w:rFonts w:ascii="宋体" w:hAnsi="宋体"/>
                <w:b/>
                <w:kern w:val="0"/>
                <w:highlight w:val="lightGray"/>
                <w:shd w:val="clear" w:color="auto" w:fill="FFFFFF"/>
              </w:rPr>
            </w:pPr>
            <w:r>
              <w:rPr>
                <w:rFonts w:ascii="宋体" w:hAnsi="宋体" w:hint="eastAsia"/>
                <w:b/>
              </w:rPr>
              <w:t>（单位：天）</w:t>
            </w:r>
          </w:p>
        </w:tc>
      </w:tr>
      <w:tr w:rsidTr="00587ABE">
        <w:tblPrEx>
          <w:tblW w:w="5004" w:type="pct"/>
          <w:tblLook w:val="04A0"/>
        </w:tblPrEx>
        <w:trPr>
          <w:trHeight w:val="430"/>
        </w:trPr>
        <w:tc>
          <w:tcPr>
            <w:tcW w:w="1227" w:type="pct"/>
            <w:tcBorders>
              <w:top w:val="single" w:sz="4" w:space="0" w:color="auto"/>
              <w:left w:val="single" w:sz="4" w:space="0" w:color="auto"/>
              <w:bottom w:val="single" w:sz="4" w:space="0" w:color="auto"/>
              <w:right w:val="single" w:sz="4" w:space="0" w:color="auto"/>
            </w:tcBorders>
            <w:vAlign w:val="center"/>
            <w:hideMark/>
          </w:tcPr>
          <w:p>
            <w:pPr>
              <w:ind w:left="-1" w:right="-1"/>
              <w:jc w:val="center"/>
            </w:pPr>
            <w:r>
              <w:rPr>
                <w:rFonts w:ascii="宋体" w:eastAsia="宋体" w:hAnsi="宋体" w:cs="宋体"/>
                <w:b w:val="0"/>
                <w:i w:val="0"/>
                <w:color w:val="000000"/>
                <w:spacing w:val="0"/>
                <w:position w:val="-1"/>
                <w:u w:val="none"/>
                <w:vertAlign w:val="baseline"/>
              </w:rPr>
              <w:t>-</w:t>
            </w:r>
          </w:p>
        </w:tc>
        <w:tc>
          <w:tcPr>
            <w:tcW w:w="1663" w:type="pct"/>
            <w:tcBorders>
              <w:top w:val="single" w:sz="4" w:space="0" w:color="auto"/>
              <w:left w:val="single" w:sz="4" w:space="0" w:color="auto"/>
              <w:bottom w:val="single" w:sz="4" w:space="0" w:color="auto"/>
              <w:right w:val="single" w:sz="4" w:space="0" w:color="auto"/>
            </w:tcBorders>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2110" w:type="pct"/>
            <w:tcBorders>
              <w:top w:val="single" w:sz="4" w:space="0" w:color="auto"/>
              <w:left w:val="single" w:sz="4" w:space="0" w:color="auto"/>
              <w:bottom w:val="single" w:sz="4" w:space="0" w:color="auto"/>
              <w:right w:val="single" w:sz="4" w:space="0" w:color="auto"/>
            </w:tcBorders>
            <w:vAlign w:val="center"/>
            <w:hideMark/>
          </w:tcPr>
          <w:p>
            <w:pPr>
              <w:ind w:left="-1" w:right="-1"/>
              <w:jc w:val="center"/>
            </w:pPr>
            <w:r>
              <w:rPr>
                <w:rFonts w:ascii="宋体" w:eastAsia="宋体" w:hAnsi="宋体" w:cs="宋体"/>
                <w:b w:val="0"/>
                <w:i w:val="0"/>
                <w:color w:val="000000"/>
                <w:spacing w:val="0"/>
                <w:position w:val="-1"/>
                <w:u w:val="none"/>
                <w:vertAlign w:val="baseline"/>
              </w:rPr>
              <w:t>-</w:t>
            </w:r>
          </w:p>
        </w:tc>
      </w:tr>
    </w:tbl>
    <w:p w:rsidR="008B7BD8" w:rsidRPr="00BB25DC" w:rsidP="00BB25DC">
      <w:pPr>
        <w:pStyle w:val="Heading2"/>
        <w:rPr>
          <w:sz w:val="24"/>
          <w:szCs w:val="24"/>
          <w:shd w:val="clear" w:color="auto" w:fill="FFFFFF"/>
        </w:rPr>
      </w:pPr>
      <w:bookmarkStart w:id="33" w:name="_Toc256000018"/>
      <w:r>
        <w:rPr>
          <w:b/>
          <w:color w:val="000000"/>
          <w:sz w:val="24"/>
        </w:rPr>
        <w:t>5.6 报告期末商品及金融衍生品资产信息</w:t>
      </w:r>
      <w:bookmarkEnd w:id="33"/>
    </w:p>
    <w:p w:rsidR="008B7BD8" w:rsidRPr="00E43FC7" w:rsidP="00BA42D8">
      <w:pPr>
        <w:ind w:firstLine="420" w:firstLineChars="200"/>
        <w:rPr>
          <w:rFonts w:ascii="宋体" w:hAnsi="宋体"/>
          <w:sz w:val="24"/>
          <w:shd w:val="clear" w:color="auto" w:fill="FFFFFF"/>
        </w:rPr>
      </w:pPr>
      <w:r>
        <w:rPr>
          <w:rFonts w:ascii="宋体" w:eastAsia="宋体" w:hAnsi="宋体" w:cs="宋体"/>
          <w:b w:val="0"/>
          <w:color w:val="000000"/>
          <w:sz w:val="24"/>
        </w:rPr>
        <w:t>无</w:t>
      </w:r>
    </w:p>
    <w:p w:rsidR="004B3394" w:rsidRPr="008B7BD8" w:rsidP="008B7BD8">
      <w:pPr>
        <w:rPr>
          <w:rFonts w:ascii="宋体" w:hAnsi="宋体"/>
        </w:rPr>
      </w:pPr>
      <w:r>
        <w:rPr>
          <w:rFonts w:ascii="宋体" w:eastAsia="宋体" w:hAnsi="宋体" w:cs="宋体"/>
          <w:b w:val="0"/>
          <w:color w:val="000000"/>
        </w:rPr>
        <w:t xml:space="preserve"> </w:t>
      </w:r>
    </w:p>
    <w:p w:rsidR="00C873CF">
      <w:bookmarkStart w:id="34" w:name="现金类理财"/>
      <w:bookmarkStart w:id="35" w:name="托管人"/>
      <w:bookmarkEnd w:id="34"/>
      <w:bookmarkEnd w:id="35"/>
    </w:p>
    <w:p w:rsidR="00C873CF">
      <w:pPr>
        <w:jc w:val="right"/>
        <w:rPr>
          <w:rFonts w:ascii="宋体" w:hAnsi="宋体"/>
          <w:sz w:val="24"/>
          <w:szCs w:val="24"/>
        </w:rPr>
      </w:pPr>
      <w:r>
        <w:rPr>
          <w:rFonts w:ascii="宋体" w:eastAsia="宋体" w:hAnsi="宋体" w:cs="宋体"/>
          <w:b w:val="0"/>
          <w:i w:val="0"/>
          <w:color w:val="000000"/>
          <w:position w:val="-1"/>
          <w:sz w:val="24"/>
          <w:u w:val="none"/>
        </w:rPr>
        <w:t>招银理财有限责任公司</w:t>
      </w:r>
    </w:p>
    <w:p w:rsidR="00C873CF">
      <w:pPr>
        <w:jc w:val="right"/>
        <w:rPr>
          <w:rFonts w:ascii="宋体" w:hAnsi="宋体"/>
          <w:sz w:val="24"/>
          <w:szCs w:val="24"/>
        </w:rPr>
      </w:pPr>
      <w:r>
        <w:rPr>
          <w:rFonts w:ascii="宋体" w:eastAsia="宋体" w:hAnsi="宋体" w:cs="宋体"/>
          <w:b w:val="0"/>
          <w:i w:val="0"/>
          <w:color w:val="000000"/>
          <w:position w:val="-1"/>
          <w:sz w:val="24"/>
          <w:u w:val="none"/>
        </w:rPr>
        <w:t>2026年03月31日</w:t>
      </w:r>
    </w:p>
    <w:sectPr>
      <w:headerReference w:type="default" r:id="rId5"/>
      <w:footerReference w:type="even" r:id="rId6"/>
      <w:footerReference w:type="default" r:id="rId7"/>
      <w:pgSz w:w="11906" w:h="16838"/>
      <w:pgMar w:top="1440" w:right="1418" w:bottom="1440" w:left="1418" w:header="851" w:footer="567"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1"/>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仿宋_GB2312">
    <w:altName w:val="仿宋"/>
    <w:charset w:val="86"/>
    <w:family w:val="modern"/>
    <w:pitch w:val="fixed"/>
    <w:sig w:usb0="00000000" w:usb1="0000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彩虹小标宋">
    <w:altName w:val="微软雅黑"/>
    <w:charset w:val="86"/>
    <w:family w:val="script"/>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default"/>
    <w:sig w:usb0="00000000" w:usb1="00000000" w:usb2="00000000" w:usb3="00000000" w:csb0="80000000"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873CF">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fldChar w:fldCharType="end"/>
    </w:r>
  </w:p>
  <w:p w:rsidR="00C873C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873CF">
    <w:pPr>
      <w:pStyle w:val="Footer"/>
      <w:jc w:val="center"/>
    </w:pPr>
    <w:r>
      <w:t xml:space="preserve"> </w:t>
    </w:r>
    <w:r>
      <w:rPr>
        <w:b/>
        <w:sz w:val="24"/>
        <w:szCs w:val="24"/>
      </w:rPr>
      <w:fldChar w:fldCharType="begin"/>
    </w:r>
    <w:r>
      <w:rPr>
        <w:b/>
      </w:rPr>
      <w:instrText>PAGE</w:instrText>
    </w:r>
    <w:r>
      <w:rPr>
        <w:b/>
        <w:sz w:val="24"/>
        <w:szCs w:val="24"/>
      </w:rPr>
      <w:fldChar w:fldCharType="separate"/>
    </w:r>
    <w:r>
      <w:rPr>
        <w:b/>
      </w:rPr>
      <w:t>9</w:t>
    </w:r>
    <w:r>
      <w:rPr>
        <w:b/>
        <w:sz w:val="24"/>
        <w:szCs w:val="24"/>
      </w:rPr>
      <w:fldChar w:fldCharType="end"/>
    </w:r>
    <w:r>
      <w:t xml:space="preserve"> / </w:t>
    </w:r>
    <w:r>
      <w:rPr>
        <w:b/>
        <w:sz w:val="24"/>
        <w:szCs w:val="24"/>
      </w:rPr>
      <w:fldChar w:fldCharType="begin"/>
    </w:r>
    <w:r>
      <w:rPr>
        <w:b/>
      </w:rPr>
      <w:instrText>NUMPAGES</w:instrText>
    </w:r>
    <w:r>
      <w:rPr>
        <w:b/>
        <w:sz w:val="24"/>
        <w:szCs w:val="24"/>
      </w:rPr>
      <w:fldChar w:fldCharType="separate"/>
    </w:r>
    <w:r>
      <w:rPr>
        <w:b/>
      </w:rPr>
      <w:t>9</w:t>
    </w:r>
    <w:r>
      <w:rPr>
        <w:b/>
        <w:sz w:val="24"/>
        <w:szCs w:val="24"/>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873CF">
    <w:pPr>
      <w:pStyle w:val="Header"/>
      <w:jc w:val="left"/>
    </w:pPr>
    <w:r>
      <w:rPr>
        <w:rFonts w:ascii="宋体" w:eastAsia="宋体" w:hAnsi="宋体" w:cs="宋体"/>
        <w:b w:val="0"/>
        <w:i w:val="0"/>
        <w:color w:val="000000"/>
        <w:position w:val="-1"/>
        <w:u w:val="none"/>
      </w:rPr>
      <w:t>招银理财招睿鑫鼎7天持有期7号固定收益类理财计划2026年第1季度报告（产品代码：111411）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000002"/>
    <w:multiLevelType w:val="multilevel"/>
    <w:tmpl w:val="00000002"/>
    <w:lvl w:ilvl="0">
      <w:start w:val="1"/>
      <w:numFmt w:val="decimal"/>
      <w:pStyle w:val="115"/>
      <w:lvlText w:val="%1）"/>
      <w:lvlJc w:val="left"/>
      <w:pPr>
        <w:tabs>
          <w:tab w:val="left" w:pos="360"/>
        </w:tabs>
        <w:ind w:left="360" w:hanging="360"/>
      </w:pPr>
      <w:rPr>
        <w:rFonts w:hint="default"/>
      </w:rPr>
    </w:lvl>
    <w:lvl w:ilvl="1">
      <w:start w:val="1"/>
      <w:numFmt w:val="lowerLetter"/>
      <w:pStyle w:val="2111111"/>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
    <w:nsid w:val="0000000B"/>
    <w:multiLevelType w:val="multilevel"/>
    <w:tmpl w:val="0000000B"/>
    <w:lvl w:ilvl="0">
      <w:start w:val="1"/>
      <w:numFmt w:val="decimal"/>
      <w:pStyle w:val="CharCharCharCharCharCharCharCharChar"/>
      <w:lvlText w:val="%1、"/>
      <w:lvlJc w:val="left"/>
      <w:pPr>
        <w:tabs>
          <w:tab w:val="left" w:pos="780"/>
        </w:tabs>
        <w:ind w:left="780" w:hanging="360"/>
      </w:pPr>
      <w:rPr>
        <w:rFonts w:hint="default"/>
        <w:color w:val="0000FF"/>
      </w:r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2">
    <w:nsid w:val="051114A2"/>
    <w:multiLevelType w:val="multilevel"/>
    <w:tmpl w:val="051114A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420"/>
  <w:drawingGridHorizontalSpacing w:val="105"/>
  <w:drawingGridVerticalSpacing w:val="156"/>
  <w:displayHorizontalDrawingGridEvery w:val="0"/>
  <w:displayVerticalDrawingGridEvery w:val="2"/>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semiHidden="1" w:unhideWhenUsed="1"/>
    <w:lsdException w:name="footnote text" w:qFormat="1"/>
    <w:lsdException w:name="annotation text" w:uiPriority="99"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99"/>
    <w:lsdException w:name="annotation reference" w:uiPriority="99" w:qFormat="1"/>
    <w:lsdException w:name="line number" w:semiHidden="1" w:unhideWhenUsed="1"/>
    <w:lsdException w:name="page number"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widowControl w:val="0"/>
      <w:jc w:val="both"/>
    </w:pPr>
    <w:rPr>
      <w:kern w:val="2"/>
      <w:sz w:val="21"/>
    </w:rPr>
  </w:style>
  <w:style w:type="paragraph" w:styleId="Heading1">
    <w:name w:val="heading 1"/>
    <w:basedOn w:val="Normal"/>
    <w:next w:val="Normal"/>
    <w:link w:val="10"/>
    <w:qFormat/>
    <w:pPr>
      <w:keepNext/>
      <w:keepLines/>
      <w:spacing w:before="340" w:after="330" w:line="576" w:lineRule="auto"/>
      <w:outlineLvl w:val="0"/>
    </w:pPr>
    <w:rPr>
      <w:b/>
      <w:kern w:val="44"/>
      <w:sz w:val="44"/>
      <w:lang w:val="zh-CN"/>
    </w:rPr>
  </w:style>
  <w:style w:type="paragraph" w:styleId="Heading2">
    <w:name w:val="heading 2"/>
    <w:basedOn w:val="Normal"/>
    <w:next w:val="Normal"/>
    <w:link w:val="2"/>
    <w:qFormat/>
    <w:pPr>
      <w:keepNext/>
      <w:keepLines/>
      <w:spacing w:before="260" w:after="260" w:line="413" w:lineRule="auto"/>
      <w:outlineLvl w:val="1"/>
    </w:pPr>
    <w:rPr>
      <w:rFonts w:ascii="宋体" w:hAnsi="宋体"/>
      <w:b/>
      <w:sz w:val="26"/>
    </w:rPr>
  </w:style>
  <w:style w:type="paragraph" w:styleId="Heading3">
    <w:name w:val="heading 3"/>
    <w:basedOn w:val="Normal"/>
    <w:next w:val="Normal"/>
    <w:qFormat/>
    <w:pPr>
      <w:keepNext/>
      <w:keepLines/>
      <w:spacing w:before="260" w:after="260" w:line="413" w:lineRule="auto"/>
      <w:outlineLvl w:val="2"/>
    </w:pPr>
    <w:rPr>
      <w:rFonts w:ascii="宋体" w:hAnsi="宋体"/>
      <w:b/>
      <w:sz w:val="26"/>
    </w:rPr>
  </w:style>
  <w:style w:type="paragraph" w:styleId="Heading4">
    <w:name w:val="heading 4"/>
    <w:basedOn w:val="Normal"/>
    <w:next w:val="Normal"/>
    <w:qFormat/>
    <w:pPr>
      <w:keepNext/>
      <w:keepLines/>
      <w:spacing w:before="280" w:after="290" w:line="372" w:lineRule="auto"/>
      <w:outlineLvl w:val="3"/>
    </w:pPr>
    <w:rPr>
      <w:rFonts w:ascii="Arial" w:eastAsia="黑体" w:hAnsi="Arial"/>
      <w:b/>
      <w:sz w:val="28"/>
    </w:rPr>
  </w:style>
  <w:style w:type="paragraph" w:styleId="Heading5">
    <w:name w:val="heading 5"/>
    <w:basedOn w:val="Normal"/>
    <w:next w:val="Normal"/>
    <w:qFormat/>
    <w:pPr>
      <w:keepNext/>
      <w:keepLines/>
      <w:spacing w:before="280" w:after="290" w:line="372" w:lineRule="auto"/>
      <w:outlineLvl w:val="4"/>
    </w:pPr>
    <w:rPr>
      <w:b/>
      <w:sz w:val="28"/>
    </w:rPr>
  </w:style>
  <w:style w:type="paragraph" w:styleId="Heading6">
    <w:name w:val="heading 6"/>
    <w:basedOn w:val="Normal"/>
    <w:next w:val="Normal"/>
    <w:qFormat/>
    <w:pPr>
      <w:keepNext/>
      <w:keepLines/>
      <w:spacing w:before="240" w:after="64" w:line="317" w:lineRule="auto"/>
      <w:ind w:left="851" w:firstLine="200" w:firstLineChars="200"/>
      <w:outlineLvl w:val="5"/>
    </w:pPr>
    <w:rPr>
      <w:rFonts w:ascii="Arial" w:eastAsia="黑体" w:hAnsi="Arial"/>
      <w:b/>
      <w:sz w:val="24"/>
    </w:rPr>
  </w:style>
  <w:style w:type="paragraph" w:styleId="Heading7">
    <w:name w:val="heading 7"/>
    <w:basedOn w:val="Normal"/>
    <w:next w:val="Normal"/>
    <w:qFormat/>
    <w:pPr>
      <w:keepNext/>
      <w:keepLines/>
      <w:spacing w:before="240" w:after="64" w:line="317" w:lineRule="auto"/>
      <w:ind w:left="851" w:firstLine="200" w:firstLineChars="200"/>
      <w:outlineLvl w:val="6"/>
    </w:pPr>
    <w:rPr>
      <w:b/>
      <w:sz w:val="24"/>
    </w:rPr>
  </w:style>
  <w:style w:type="paragraph" w:styleId="Heading8">
    <w:name w:val="heading 8"/>
    <w:basedOn w:val="Normal"/>
    <w:next w:val="Normal"/>
    <w:qFormat/>
    <w:pPr>
      <w:keepNext/>
      <w:keepLines/>
      <w:spacing w:before="240" w:after="64" w:line="317" w:lineRule="auto"/>
      <w:ind w:left="851" w:firstLine="200" w:firstLineChars="200"/>
      <w:outlineLvl w:val="7"/>
    </w:pPr>
    <w:rPr>
      <w:rFonts w:ascii="Arial" w:eastAsia="黑体" w:hAnsi="Arial"/>
      <w:sz w:val="24"/>
    </w:rPr>
  </w:style>
  <w:style w:type="paragraph" w:styleId="Heading9">
    <w:name w:val="heading 9"/>
    <w:basedOn w:val="Normal"/>
    <w:next w:val="Normal"/>
    <w:qFormat/>
    <w:pPr>
      <w:keepNext/>
      <w:keepLines/>
      <w:spacing w:before="240" w:after="64" w:line="317" w:lineRule="auto"/>
      <w:ind w:left="851" w:firstLine="200" w:firstLineChars="200"/>
      <w:outlineLvl w:val="8"/>
    </w:pPr>
    <w:rPr>
      <w:rFonts w:ascii="Arial" w:eastAsia="黑体"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uiPriority w:val="39"/>
    <w:unhideWhenUsed/>
    <w:qFormat/>
    <w:pPr>
      <w:ind w:left="2520" w:leftChars="1200"/>
    </w:pPr>
    <w:rPr>
      <w:rFonts w:ascii="Calibri" w:hAnsi="Calibri"/>
      <w:szCs w:val="22"/>
    </w:rPr>
  </w:style>
  <w:style w:type="paragraph" w:styleId="DocumentMap">
    <w:name w:val="Document Map"/>
    <w:basedOn w:val="Normal"/>
    <w:pPr>
      <w:shd w:val="clear" w:color="auto" w:fill="000080"/>
    </w:pPr>
  </w:style>
  <w:style w:type="paragraph" w:styleId="CommentText">
    <w:name w:val="annotation text"/>
    <w:basedOn w:val="Normal"/>
    <w:link w:val="a0"/>
    <w:uiPriority w:val="99"/>
    <w:qFormat/>
    <w:pPr>
      <w:jc w:val="left"/>
    </w:pPr>
  </w:style>
  <w:style w:type="paragraph" w:styleId="BodyText">
    <w:name w:val="Body Text"/>
    <w:basedOn w:val="Normal"/>
    <w:link w:val="a"/>
    <w:qFormat/>
    <w:pPr>
      <w:adjustRightInd w:val="0"/>
      <w:snapToGrid w:val="0"/>
      <w:spacing w:line="324" w:lineRule="auto"/>
      <w:ind w:right="28"/>
      <w:jc w:val="left"/>
    </w:pPr>
    <w:rPr>
      <w:rFonts w:ascii="仿宋_GB2312" w:eastAsia="仿宋_GB2312"/>
      <w:kern w:val="0"/>
      <w:sz w:val="28"/>
    </w:rPr>
  </w:style>
  <w:style w:type="paragraph" w:styleId="TOC5">
    <w:name w:val="toc 5"/>
    <w:basedOn w:val="Normal"/>
    <w:next w:val="Normal"/>
    <w:uiPriority w:val="39"/>
    <w:unhideWhenUsed/>
    <w:qFormat/>
    <w:pPr>
      <w:ind w:left="1680" w:leftChars="800"/>
    </w:pPr>
    <w:rPr>
      <w:rFonts w:ascii="Calibri" w:hAnsi="Calibri"/>
      <w:szCs w:val="22"/>
    </w:rPr>
  </w:style>
  <w:style w:type="paragraph" w:styleId="TOC3">
    <w:name w:val="toc 3"/>
    <w:basedOn w:val="Normal"/>
    <w:next w:val="Normal"/>
    <w:uiPriority w:val="39"/>
    <w:unhideWhenUsed/>
    <w:qFormat/>
    <w:pPr>
      <w:ind w:left="840" w:leftChars="400"/>
    </w:pPr>
    <w:rPr>
      <w:rFonts w:ascii="Calibri" w:hAnsi="Calibri"/>
      <w:szCs w:val="22"/>
    </w:rPr>
  </w:style>
  <w:style w:type="paragraph" w:styleId="TOC8">
    <w:name w:val="toc 8"/>
    <w:basedOn w:val="Normal"/>
    <w:next w:val="Normal"/>
    <w:uiPriority w:val="39"/>
    <w:unhideWhenUsed/>
    <w:qFormat/>
    <w:pPr>
      <w:ind w:left="2940" w:leftChars="1400"/>
    </w:pPr>
    <w:rPr>
      <w:rFonts w:ascii="Calibri" w:hAnsi="Calibri"/>
      <w:szCs w:val="22"/>
    </w:rPr>
  </w:style>
  <w:style w:type="paragraph" w:styleId="Date">
    <w:name w:val="Date"/>
    <w:basedOn w:val="Normal"/>
    <w:next w:val="Normal"/>
    <w:qFormat/>
    <w:rPr>
      <w:sz w:val="24"/>
    </w:rPr>
  </w:style>
  <w:style w:type="paragraph" w:styleId="EndnoteText">
    <w:name w:val="endnote text"/>
    <w:basedOn w:val="Normal"/>
    <w:link w:val="a3"/>
    <w:semiHidden/>
    <w:unhideWhenUsed/>
    <w:qFormat/>
    <w:pPr>
      <w:snapToGrid w:val="0"/>
      <w:jc w:val="left"/>
    </w:pPr>
  </w:style>
  <w:style w:type="paragraph" w:styleId="BalloonText">
    <w:name w:val="Balloon Text"/>
    <w:basedOn w:val="Normal"/>
    <w:qFormat/>
    <w:rPr>
      <w:sz w:val="18"/>
    </w:rPr>
  </w:style>
  <w:style w:type="paragraph" w:styleId="Footer">
    <w:name w:val="footer"/>
    <w:basedOn w:val="Normal"/>
    <w:link w:val="a2"/>
    <w:uiPriority w:val="99"/>
    <w:qFormat/>
    <w:pPr>
      <w:tabs>
        <w:tab w:val="center" w:pos="4153"/>
        <w:tab w:val="right" w:pos="8306"/>
      </w:tabs>
      <w:snapToGrid w:val="0"/>
      <w:jc w:val="left"/>
    </w:pPr>
    <w:rPr>
      <w:sz w:val="18"/>
      <w:lang w:val="zh-CN"/>
    </w:rPr>
  </w:style>
  <w:style w:type="paragraph" w:styleId="Header">
    <w:name w:val="header"/>
    <w:basedOn w:val="Normal"/>
    <w:qFormat/>
    <w:pPr>
      <w:pBdr>
        <w:bottom w:val="single" w:sz="6" w:space="1" w:color="auto"/>
      </w:pBdr>
      <w:tabs>
        <w:tab w:val="center" w:pos="4153"/>
        <w:tab w:val="right" w:pos="8306"/>
      </w:tabs>
      <w:snapToGrid w:val="0"/>
      <w:jc w:val="center"/>
    </w:pPr>
    <w:rPr>
      <w:sz w:val="18"/>
    </w:rPr>
  </w:style>
  <w:style w:type="paragraph" w:styleId="TOC1">
    <w:name w:val="toc 1"/>
    <w:basedOn w:val="Normal"/>
    <w:next w:val="Normal"/>
    <w:uiPriority w:val="39"/>
    <w:qFormat/>
  </w:style>
  <w:style w:type="paragraph" w:styleId="TOC4">
    <w:name w:val="toc 4"/>
    <w:basedOn w:val="Normal"/>
    <w:next w:val="Normal"/>
    <w:uiPriority w:val="39"/>
    <w:unhideWhenUsed/>
    <w:qFormat/>
    <w:pPr>
      <w:ind w:left="1260" w:leftChars="600"/>
    </w:pPr>
    <w:rPr>
      <w:rFonts w:ascii="Calibri" w:hAnsi="Calibri"/>
      <w:szCs w:val="22"/>
    </w:rPr>
  </w:style>
  <w:style w:type="paragraph" w:styleId="FootnoteText">
    <w:name w:val="footnote text"/>
    <w:basedOn w:val="Normal"/>
    <w:link w:val="a4"/>
    <w:qFormat/>
    <w:pPr>
      <w:snapToGrid w:val="0"/>
      <w:jc w:val="left"/>
    </w:pPr>
    <w:rPr>
      <w:sz w:val="18"/>
    </w:rPr>
  </w:style>
  <w:style w:type="paragraph" w:styleId="TOC6">
    <w:name w:val="toc 6"/>
    <w:basedOn w:val="Normal"/>
    <w:next w:val="Normal"/>
    <w:uiPriority w:val="39"/>
    <w:unhideWhenUsed/>
    <w:qFormat/>
    <w:pPr>
      <w:ind w:left="2100" w:leftChars="1000"/>
    </w:pPr>
    <w:rPr>
      <w:rFonts w:ascii="Calibri" w:hAnsi="Calibri"/>
      <w:szCs w:val="22"/>
    </w:rPr>
  </w:style>
  <w:style w:type="paragraph" w:styleId="TOC2">
    <w:name w:val="toc 2"/>
    <w:basedOn w:val="Normal"/>
    <w:next w:val="Normal"/>
    <w:uiPriority w:val="39"/>
    <w:qFormat/>
    <w:pPr>
      <w:ind w:left="420" w:leftChars="200"/>
    </w:pPr>
  </w:style>
  <w:style w:type="paragraph" w:styleId="TOC9">
    <w:name w:val="toc 9"/>
    <w:basedOn w:val="Normal"/>
    <w:next w:val="Normal"/>
    <w:uiPriority w:val="39"/>
    <w:unhideWhenUsed/>
    <w:qFormat/>
    <w:pPr>
      <w:ind w:left="3360" w:leftChars="1600"/>
    </w:pPr>
    <w:rPr>
      <w:rFonts w:ascii="Calibri" w:hAnsi="Calibri"/>
      <w:szCs w:val="22"/>
    </w:rPr>
  </w:style>
  <w:style w:type="paragraph" w:styleId="BodyText2">
    <w:name w:val="Body Text 2"/>
    <w:basedOn w:val="Normal"/>
    <w:qFormat/>
    <w:pPr>
      <w:spacing w:after="120" w:line="480" w:lineRule="auto"/>
    </w:pPr>
  </w:style>
  <w:style w:type="paragraph" w:styleId="NormalWeb">
    <w:name w:val="Normal (Web)"/>
    <w:basedOn w:val="Normal"/>
    <w:uiPriority w:val="99"/>
    <w:qFormat/>
    <w:pPr>
      <w:widowControl/>
      <w:spacing w:before="100" w:beforeAutospacing="1" w:after="100" w:afterAutospacing="1"/>
      <w:jc w:val="left"/>
    </w:pPr>
    <w:rPr>
      <w:rFonts w:ascii="宋体" w:hAnsi="宋体"/>
      <w:kern w:val="0"/>
      <w:sz w:val="24"/>
    </w:rPr>
  </w:style>
  <w:style w:type="paragraph" w:styleId="CommentSubject">
    <w:name w:val="annotation subject"/>
    <w:basedOn w:val="CommentText"/>
    <w:next w:val="CommentText"/>
    <w:qFormat/>
    <w:rPr>
      <w:b/>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rPr>
  </w:style>
  <w:style w:type="character" w:styleId="EndnoteReference">
    <w:name w:val="endnote reference"/>
    <w:semiHidden/>
    <w:unhideWhenUsed/>
    <w:qFormat/>
    <w:rPr>
      <w:vertAlign w:val="superscript"/>
    </w:rPr>
  </w:style>
  <w:style w:type="character" w:styleId="PageNumber">
    <w:name w:val="page number"/>
    <w:basedOn w:val="DefaultParagraphFont"/>
    <w:qFormat/>
  </w:style>
  <w:style w:type="character" w:styleId="Hyperlink">
    <w:name w:val="Hyperlink"/>
    <w:uiPriority w:val="99"/>
    <w:qFormat/>
    <w:rPr>
      <w:color w:val="0000FF"/>
      <w:u w:val="single"/>
    </w:rPr>
  </w:style>
  <w:style w:type="character" w:styleId="CommentReference">
    <w:name w:val="annotation reference"/>
    <w:uiPriority w:val="99"/>
    <w:qFormat/>
    <w:rPr>
      <w:sz w:val="21"/>
    </w:rPr>
  </w:style>
  <w:style w:type="character" w:styleId="FootnoteReference">
    <w:name w:val="footnote reference"/>
    <w:uiPriority w:val="99"/>
    <w:rPr>
      <w:vertAlign w:val="superscript"/>
    </w:rPr>
  </w:style>
  <w:style w:type="character" w:customStyle="1" w:styleId="a">
    <w:name w:val="正文文本 字符"/>
    <w:link w:val="BodyText"/>
    <w:qFormat/>
    <w:rPr>
      <w:rFonts w:ascii="仿宋_GB2312" w:eastAsia="仿宋_GB2312"/>
      <w:sz w:val="28"/>
      <w:lang w:val="en-US" w:eastAsia="zh-CN"/>
    </w:rPr>
  </w:style>
  <w:style w:type="character" w:customStyle="1" w:styleId="2CharCharChar">
    <w:name w:val="标题 2 Char Char Char"/>
    <w:rPr>
      <w:rFonts w:ascii="Arial" w:eastAsia="宋体" w:hAnsi="Arial"/>
      <w:b/>
      <w:kern w:val="2"/>
      <w:sz w:val="28"/>
      <w:lang w:val="en-US" w:eastAsia="zh-CN"/>
    </w:rPr>
  </w:style>
  <w:style w:type="character" w:customStyle="1" w:styleId="a0">
    <w:name w:val="批注文字 字符"/>
    <w:link w:val="CommentText"/>
    <w:uiPriority w:val="99"/>
    <w:qFormat/>
    <w:rPr>
      <w:rFonts w:eastAsia="宋体"/>
      <w:kern w:val="2"/>
      <w:sz w:val="21"/>
      <w:lang w:val="en-US" w:eastAsia="zh-CN"/>
    </w:rPr>
  </w:style>
  <w:style w:type="character" w:customStyle="1" w:styleId="1">
    <w:name w:val="已访问的超链接1"/>
    <w:rPr>
      <w:color w:val="800080"/>
      <w:u w:val="single"/>
    </w:rPr>
  </w:style>
  <w:style w:type="character" w:customStyle="1" w:styleId="afont1">
    <w:name w:val="afont1"/>
    <w:qFormat/>
    <w:rPr>
      <w:rFonts w:ascii="Arial Narrow" w:hAnsi="Arial Narrow" w:hint="default"/>
      <w:sz w:val="21"/>
    </w:rPr>
  </w:style>
  <w:style w:type="character" w:customStyle="1" w:styleId="2">
    <w:name w:val="标题 2 字符"/>
    <w:link w:val="Heading2"/>
    <w:qFormat/>
    <w:rPr>
      <w:rFonts w:ascii="宋体" w:hAnsi="宋体"/>
      <w:b/>
      <w:kern w:val="2"/>
      <w:sz w:val="26"/>
    </w:rPr>
  </w:style>
  <w:style w:type="character" w:customStyle="1" w:styleId="CharCharCharCharCharCharCharChar">
    <w:name w:val="正文文字 Char Char Char Char Char Char Char Char"/>
    <w:qFormat/>
    <w:rPr>
      <w:rFonts w:ascii="仿宋_GB2312" w:eastAsia="仿宋_GB2312"/>
      <w:sz w:val="28"/>
      <w:lang w:val="en-US" w:eastAsia="zh-CN"/>
    </w:rPr>
  </w:style>
  <w:style w:type="paragraph" w:customStyle="1" w:styleId="115">
    <w:name w:val="样式 标题 1 + 段前: 1.5 行"/>
    <w:basedOn w:val="Normal"/>
    <w:pPr>
      <w:numPr>
        <w:numId w:val="1"/>
      </w:numPr>
    </w:pPr>
    <w:rPr>
      <w:sz w:val="24"/>
    </w:rPr>
  </w:style>
  <w:style w:type="paragraph" w:customStyle="1" w:styleId="CharChar2">
    <w:name w:val="Char Char2"/>
    <w:basedOn w:val="Normal"/>
    <w:qFormat/>
    <w:pPr>
      <w:autoSpaceDE w:val="0"/>
      <w:autoSpaceDN w:val="0"/>
      <w:adjustRightInd w:val="0"/>
      <w:jc w:val="left"/>
      <w:textAlignment w:val="baseline"/>
    </w:pPr>
    <w:rPr>
      <w:rFonts w:ascii="宋体"/>
      <w:kern w:val="0"/>
      <w:sz w:val="34"/>
    </w:rPr>
  </w:style>
  <w:style w:type="paragraph" w:customStyle="1" w:styleId="xl33">
    <w:name w:val="xl33"/>
    <w:basedOn w:val="Normal"/>
    <w:qFormat/>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kern w:val="0"/>
      <w:sz w:val="24"/>
    </w:rPr>
  </w:style>
  <w:style w:type="paragraph" w:customStyle="1" w:styleId="Char">
    <w:name w:val="Char"/>
    <w:basedOn w:val="Normal"/>
    <w:qFormat/>
  </w:style>
  <w:style w:type="paragraph" w:customStyle="1" w:styleId="a1">
    <w:name w:val="简单回函地址"/>
    <w:basedOn w:val="Normal"/>
    <w:qFormat/>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Normal"/>
    <w:qFormat/>
    <w:pPr>
      <w:widowControl/>
      <w:spacing w:after="160" w:line="240" w:lineRule="exact"/>
      <w:jc w:val="left"/>
    </w:pPr>
    <w:rPr>
      <w:rFonts w:ascii="Verdana" w:eastAsia="Times New Roman" w:hAnsi="Verdana"/>
      <w:kern w:val="0"/>
      <w:sz w:val="20"/>
      <w:lang w:eastAsia="en-US"/>
    </w:rPr>
  </w:style>
  <w:style w:type="paragraph" w:customStyle="1" w:styleId="CharCharCharChar">
    <w:name w:val="Char Char Char Char"/>
    <w:basedOn w:val="Normal"/>
    <w:qFormat/>
    <w:pPr>
      <w:tabs>
        <w:tab w:val="left" w:pos="840"/>
      </w:tabs>
      <w:adjustRightInd w:val="0"/>
      <w:spacing w:line="360" w:lineRule="atLeast"/>
      <w:ind w:left="840" w:hanging="360"/>
      <w:textAlignment w:val="baseline"/>
    </w:pPr>
    <w:rPr>
      <w:sz w:val="24"/>
    </w:rPr>
  </w:style>
  <w:style w:type="paragraph" w:customStyle="1" w:styleId="Style22">
    <w:name w:val="_Style 22"/>
    <w:basedOn w:val="Normal"/>
    <w:qFormat/>
    <w:pPr>
      <w:autoSpaceDE w:val="0"/>
      <w:autoSpaceDN w:val="0"/>
      <w:adjustRightInd w:val="0"/>
      <w:jc w:val="left"/>
      <w:textAlignment w:val="baseline"/>
    </w:pPr>
  </w:style>
  <w:style w:type="paragraph" w:customStyle="1" w:styleId="FormLabel">
    <w:name w:val="Form Label"/>
    <w:basedOn w:val="Normal"/>
    <w:qFormat/>
    <w:pPr>
      <w:widowControl/>
      <w:spacing w:line="280" w:lineRule="exact"/>
      <w:jc w:val="left"/>
    </w:pPr>
    <w:rPr>
      <w:kern w:val="0"/>
      <w:sz w:val="18"/>
      <w:lang w:val="en-GB" w:eastAsia="en-US"/>
    </w:rPr>
  </w:style>
  <w:style w:type="paragraph" w:customStyle="1" w:styleId="CharCharCharCharCharCharCharCharChar">
    <w:name w:val="Char Char Char Char Char Char Char Char Char"/>
    <w:basedOn w:val="Normal"/>
    <w:qFormat/>
    <w:pPr>
      <w:numPr>
        <w:numId w:val="2"/>
      </w:numPr>
    </w:pPr>
    <w:rPr>
      <w:sz w:val="24"/>
    </w:rPr>
  </w:style>
  <w:style w:type="paragraph" w:customStyle="1" w:styleId="Char1CharCharCharChar">
    <w:name w:val="Char1 Char Char Char Char"/>
    <w:basedOn w:val="Normal"/>
    <w:qFormat/>
    <w:pPr>
      <w:widowControl/>
      <w:spacing w:after="160" w:line="240" w:lineRule="exact"/>
      <w:jc w:val="left"/>
    </w:pPr>
    <w:rPr>
      <w:rFonts w:ascii="Verdana" w:hAnsi="Verdana"/>
      <w:kern w:val="0"/>
      <w:sz w:val="20"/>
      <w:lang w:eastAsia="en-US"/>
    </w:rPr>
  </w:style>
  <w:style w:type="paragraph" w:customStyle="1" w:styleId="CharCharCharCharCharChar1CharCharChar">
    <w:name w:val="Char Char Char Char Char Char1 Char Char Char"/>
    <w:basedOn w:val="Normal"/>
    <w:qFormat/>
    <w:pPr>
      <w:autoSpaceDE w:val="0"/>
      <w:autoSpaceDN w:val="0"/>
      <w:adjustRightInd w:val="0"/>
      <w:jc w:val="left"/>
      <w:textAlignment w:val="baseline"/>
    </w:pPr>
    <w:rPr>
      <w:rFonts w:ascii="宋体"/>
      <w:kern w:val="0"/>
      <w:sz w:val="34"/>
    </w:rPr>
  </w:style>
  <w:style w:type="paragraph" w:customStyle="1" w:styleId="2111111">
    <w:name w:val="样式 样式 样式 标题 2 + 段前: 1 行 段后: 1 行1 + 段前: 1 行 段后: 1 行 + 段前: 1 行 段后..."/>
    <w:basedOn w:val="Normal"/>
    <w:qFormat/>
    <w:pPr>
      <w:keepNext/>
      <w:keepLines/>
      <w:numPr>
        <w:ilvl w:val="1"/>
        <w:numId w:val="1"/>
      </w:numPr>
      <w:spacing w:before="447" w:after="447"/>
      <w:outlineLvl w:val="1"/>
    </w:pPr>
    <w:rPr>
      <w:rFonts w:ascii="Arial" w:hAnsi="Arial"/>
      <w:b/>
      <w:sz w:val="28"/>
    </w:rPr>
  </w:style>
  <w:style w:type="paragraph" w:customStyle="1" w:styleId="xl30">
    <w:name w:val="xl30"/>
    <w:basedOn w:val="Normal"/>
    <w:qFormat/>
    <w:pPr>
      <w:widowControl/>
      <w:spacing w:before="100" w:beforeAutospacing="1" w:after="100" w:afterAutospacing="1"/>
      <w:jc w:val="right"/>
    </w:pPr>
    <w:rPr>
      <w:rFonts w:eastAsia="Arial Unicode MS"/>
      <w:kern w:val="0"/>
    </w:rPr>
  </w:style>
  <w:style w:type="paragraph" w:customStyle="1" w:styleId="Char1">
    <w:name w:val="Char1"/>
    <w:basedOn w:val="Normal"/>
    <w:qFormat/>
  </w:style>
  <w:style w:type="paragraph" w:customStyle="1" w:styleId="Default">
    <w:name w:val="Default"/>
    <w:qFormat/>
    <w:pPr>
      <w:widowControl w:val="0"/>
      <w:autoSpaceDE w:val="0"/>
      <w:autoSpaceDN w:val="0"/>
      <w:adjustRightInd w:val="0"/>
    </w:pPr>
    <w:rPr>
      <w:rFonts w:ascii="宋体"/>
      <w:color w:val="000000"/>
      <w:sz w:val="24"/>
    </w:rPr>
  </w:style>
  <w:style w:type="paragraph" w:customStyle="1" w:styleId="xl31">
    <w:name w:val="xl31"/>
    <w:basedOn w:val="Normal"/>
    <w:qFormat/>
    <w:pPr>
      <w:widowControl/>
      <w:spacing w:before="100" w:beforeAutospacing="1" w:after="100" w:afterAutospacing="1"/>
      <w:jc w:val="center"/>
      <w:textAlignment w:val="center"/>
    </w:pPr>
    <w:rPr>
      <w:rFonts w:ascii="宋体" w:hAnsi="宋体"/>
      <w:kern w:val="0"/>
      <w:sz w:val="24"/>
    </w:rPr>
  </w:style>
  <w:style w:type="character" w:customStyle="1" w:styleId="10">
    <w:name w:val="标题 1 字符"/>
    <w:link w:val="Heading1"/>
    <w:qFormat/>
    <w:rPr>
      <w:b/>
      <w:kern w:val="44"/>
      <w:sz w:val="44"/>
    </w:rPr>
  </w:style>
  <w:style w:type="paragraph" w:styleId="ListParagraph">
    <w:name w:val="List Paragraph"/>
    <w:basedOn w:val="Normal"/>
    <w:uiPriority w:val="34"/>
    <w:qFormat/>
    <w:pPr>
      <w:ind w:firstLine="420" w:firstLineChars="200"/>
    </w:pPr>
  </w:style>
  <w:style w:type="paragraph" w:customStyle="1" w:styleId="11">
    <w:name w:val="修订1"/>
    <w:hidden/>
    <w:uiPriority w:val="71"/>
    <w:unhideWhenUsed/>
    <w:qFormat/>
    <w:rPr>
      <w:kern w:val="2"/>
      <w:sz w:val="21"/>
    </w:rPr>
  </w:style>
  <w:style w:type="paragraph" w:customStyle="1" w:styleId="z-1">
    <w:name w:val="z-窗体底端1"/>
    <w:basedOn w:val="Normal"/>
    <w:next w:val="Normal"/>
    <w:link w:val="z-"/>
    <w:uiPriority w:val="99"/>
    <w:semiHidden/>
    <w:unhideWhenUsed/>
    <w:qFormat/>
    <w:pPr>
      <w:widowControl/>
      <w:pBdr>
        <w:top w:val="single" w:sz="6" w:space="1" w:color="auto"/>
      </w:pBdr>
      <w:jc w:val="center"/>
    </w:pPr>
    <w:rPr>
      <w:rFonts w:ascii="Arial" w:hAnsi="Arial"/>
      <w:vanish/>
      <w:kern w:val="0"/>
      <w:sz w:val="16"/>
      <w:szCs w:val="16"/>
      <w:lang w:val="zh-CN"/>
    </w:rPr>
  </w:style>
  <w:style w:type="character" w:customStyle="1" w:styleId="z-">
    <w:name w:val="z-窗体底端 字符"/>
    <w:link w:val="z-1"/>
    <w:uiPriority w:val="99"/>
    <w:semiHidden/>
    <w:qFormat/>
    <w:rPr>
      <w:rFonts w:ascii="Arial" w:hAnsi="Arial" w:cs="Arial"/>
      <w:vanish/>
      <w:sz w:val="16"/>
      <w:szCs w:val="16"/>
    </w:rPr>
  </w:style>
  <w:style w:type="paragraph" w:customStyle="1" w:styleId="CharCharCharCharCharCharCharCharCharCharCharChar">
    <w:name w:val="Char Char Char Char Char Char Char Char Char Char Char Char"/>
    <w:basedOn w:val="Normal"/>
    <w:qFormat/>
    <w:pPr>
      <w:widowControl/>
      <w:spacing w:after="160" w:line="240" w:lineRule="exact"/>
      <w:jc w:val="left"/>
    </w:pPr>
    <w:rPr>
      <w:rFonts w:ascii="Tahoma" w:hAnsi="Tahoma" w:cs="Tahoma"/>
      <w:szCs w:val="21"/>
    </w:rPr>
  </w:style>
  <w:style w:type="character" w:customStyle="1" w:styleId="a2">
    <w:name w:val="页脚 字符"/>
    <w:link w:val="Footer"/>
    <w:uiPriority w:val="99"/>
    <w:qFormat/>
    <w:rPr>
      <w:kern w:val="2"/>
      <w:sz w:val="18"/>
    </w:rPr>
  </w:style>
  <w:style w:type="paragraph" w:customStyle="1" w:styleId="p0">
    <w:name w:val="p0"/>
    <w:basedOn w:val="Normal"/>
    <w:qFormat/>
    <w:pPr>
      <w:widowControl/>
      <w:spacing w:before="100" w:beforeAutospacing="1" w:after="100" w:afterAutospacing="1"/>
      <w:jc w:val="left"/>
    </w:pPr>
    <w:rPr>
      <w:rFonts w:ascii="宋体" w:hAnsi="宋体" w:cs="宋体"/>
      <w:kern w:val="0"/>
      <w:sz w:val="24"/>
      <w:szCs w:val="24"/>
    </w:rPr>
  </w:style>
  <w:style w:type="character" w:customStyle="1" w:styleId="Char10">
    <w:name w:val="批注文字 Char1"/>
    <w:uiPriority w:val="99"/>
    <w:semiHidden/>
    <w:qFormat/>
  </w:style>
  <w:style w:type="character" w:customStyle="1" w:styleId="a3">
    <w:name w:val="尾注文本 字符"/>
    <w:link w:val="EndnoteText"/>
    <w:semiHidden/>
    <w:qFormat/>
    <w:rPr>
      <w:kern w:val="2"/>
      <w:sz w:val="21"/>
    </w:rPr>
  </w:style>
  <w:style w:type="character" w:customStyle="1" w:styleId="12">
    <w:name w:val="批注文字 字符1"/>
    <w:qFormat/>
    <w:rPr>
      <w:kern w:val="2"/>
      <w:sz w:val="21"/>
    </w:rPr>
  </w:style>
  <w:style w:type="character" w:customStyle="1" w:styleId="a4">
    <w:name w:val="脚注文本 字符"/>
    <w:link w:val="FootnoteText"/>
    <w:rPr>
      <w:kern w:val="2"/>
      <w:sz w:val="18"/>
    </w:rPr>
  </w:style>
  <w:style w:type="paragraph" w:customStyle="1" w:styleId="ccb">
    <w:name w:val="ccb正文"/>
    <w:basedOn w:val="Normal"/>
    <w:qFormat/>
    <w:pPr>
      <w:spacing w:line="360" w:lineRule="auto"/>
      <w:ind w:firstLine="560" w:firstLineChars="200"/>
    </w:pPr>
    <w:rPr>
      <w:rFonts w:ascii="彩虹小标宋" w:eastAsia="彩虹小标宋" w:hAnsi="宋体" w:cs="宋体"/>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no"?>
<Relationships xmlns="http://schemas.openxmlformats.org/package/2006/relationships">
<Relationship Id="rId1" Target="settings.xml" Type="http://schemas.openxmlformats.org/officeDocument/2006/relationships/settings"/>
<Relationship Id="rId10" Target="styles.xml" Type="http://schemas.openxmlformats.org/officeDocument/2006/relationships/styles"/>
<Relationship Id="rId2" Target="webSettings.xml" Type="http://schemas.openxmlformats.org/officeDocument/2006/relationships/webSettings"/>
<Relationship Id="rId3" Target="fontTable.xml" Type="http://schemas.openxmlformats.org/officeDocument/2006/relationships/fontTable"/>
<Relationship Id="rId4" Target="../customXml/item1.xml" Type="http://schemas.openxmlformats.org/officeDocument/2006/relationships/customXml"/>
<Relationship Id="rId5" Target="header1.xml" Type="http://schemas.openxmlformats.org/officeDocument/2006/relationships/header"/>
<Relationship Id="rId6" Target="footer1.xml" Type="http://schemas.openxmlformats.org/officeDocument/2006/relationships/footer"/>
<Relationship Id="rId7" Target="footer2.xml" Type="http://schemas.openxmlformats.org/officeDocument/2006/relationships/footer"/>
<Relationship Id="rId8" Target="theme/theme1.xml" Type="http://schemas.openxmlformats.org/officeDocument/2006/relationships/theme"/>
<Relationship Id="rId9" Target="numbering.xml" Type="http://schemas.openxmlformats.org/officeDocument/2006/relationships/numberi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BAEEDF-06AC-430F-9779-BF07E3CB4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289</Words>
  <Characters>1652</Characters>
  <Application>Microsoft Office Word</Application>
  <DocSecurity>0</DocSecurity>
  <Lines>13</Lines>
  <Paragraphs>3</Paragraphs>
  <ScaleCrop>false</ScaleCrop>
  <Company>WwW.YlmF.CoM</Company>
  <LinksUpToDate>false</LinksUpToDate>
  <CharactersWithSpaces>1938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2026-03-02T06:01:00Z</dcterms:created>
  <dc:creator>CSRC</dc:creator>
  <cp:lastModifiedBy>胡伟</cp:lastModifiedBy>
  <cp:lastPrinted>2019-06-25T10:32:00Z</cp:lastPrinted>
  <dcterms:modified xsi:type="dcterms:W3CDTF">2026-03-02T06:01:00Z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35B5C29F3E794A559E6C4A059CD92EE0</vt:lpwstr>
  </property>
  <property fmtid="{D5CDD505-2E9C-101B-9397-08002B2CF9AE}" pid="3" name="KSOProductBuildVer">
    <vt:lpwstr>2052-11.8.2.12085</vt:lpwstr>
  </property>
</Properties>
</file>