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680F50" w:rsidRPr="004C7F8B" w:rsidP="00E157CE">
      <w:pPr>
        <w:jc w:val="center"/>
        <w:rPr>
          <w:rFonts w:ascii="宋体" w:hAnsi="宋体"/>
          <w:b/>
          <w:color w:val="000000"/>
          <w:sz w:val="32"/>
          <w:szCs w:val="32"/>
          <w:shd w:val="clear" w:color="auto" w:fill="FFFFFF"/>
        </w:rPr>
      </w:pPr>
      <w:bookmarkStart w:id="0" w:name="_GoBack"/>
      <w:bookmarkEnd w:id="0"/>
      <w:r>
        <w:rPr>
          <w:rFonts w:ascii="宋体" w:hAnsi="宋体" w:hint="eastAsia"/>
          <w:b/>
          <w:color w:val="000000"/>
          <w:sz w:val="32"/>
          <w:szCs w:val="32"/>
          <w:shd w:val="clear" w:color="auto" w:fill="FFFFFF"/>
        </w:rPr>
        <w:t xml:space="preserve"> </w:t>
      </w:r>
    </w:p>
    <w:p w:rsidR="00680F50" w:rsidRPr="004C7F8B" w:rsidP="00E157CE">
      <w:pPr>
        <w:jc w:val="center"/>
        <w:rPr>
          <w:rFonts w:ascii="宋体" w:hAnsi="宋体"/>
          <w:b/>
          <w:color w:val="000000"/>
          <w:sz w:val="32"/>
          <w:szCs w:val="32"/>
          <w:shd w:val="clear" w:color="auto" w:fill="FFFFFF"/>
        </w:rPr>
      </w:pPr>
    </w:p>
    <w:p w:rsidR="00120F3B" w:rsidRPr="00B53D88" w:rsidP="00120F3B">
      <w:pPr>
        <w:jc w:val="center"/>
        <w:rPr>
          <w:rFonts w:ascii="宋体" w:hAnsi="宋体"/>
          <w:b/>
          <w:sz w:val="32"/>
          <w:szCs w:val="32"/>
          <w:shd w:val="clear" w:color="auto" w:fill="FFFFFF"/>
        </w:rPr>
      </w:pPr>
      <w:r>
        <w:rPr>
          <w:rFonts w:ascii="宋体" w:eastAsia="宋体" w:hAnsi="宋体" w:cs="宋体"/>
          <w:b/>
          <w:i w:val="0"/>
          <w:color w:val="000000"/>
          <w:position w:val="-1"/>
          <w:sz w:val="32"/>
          <w:u w:val="none"/>
        </w:rPr>
        <w:t>招银理财招赢日日金98号现金管理类理财计划</w:t>
      </w:r>
    </w:p>
    <w:p w:rsidR="00AF5DEE" w:rsidRPr="00B53D88" w:rsidP="00AF5DEE">
      <w:pPr>
        <w:jc w:val="center"/>
        <w:rPr>
          <w:rFonts w:ascii="宋体" w:hAnsi="宋体"/>
          <w:b/>
          <w:sz w:val="32"/>
          <w:szCs w:val="32"/>
          <w:shd w:val="clear" w:color="auto" w:fill="FFFFFF"/>
        </w:rPr>
      </w:pPr>
      <w:r>
        <w:rPr>
          <w:rFonts w:ascii="宋体" w:eastAsia="宋体" w:hAnsi="宋体" w:cs="宋体"/>
          <w:b/>
          <w:i w:val="0"/>
          <w:color w:val="000000"/>
          <w:position w:val="-1"/>
          <w:sz w:val="32"/>
          <w:u w:val="none"/>
        </w:rPr>
        <w:t>2026</w:t>
      </w:r>
      <w:r w:rsidRPr="00B53D88" w:rsidR="000D55A6">
        <w:rPr>
          <w:rFonts w:ascii="宋体" w:hAnsi="宋体" w:hint="eastAsia"/>
          <w:b/>
          <w:sz w:val="32"/>
          <w:szCs w:val="32"/>
          <w:shd w:val="clear" w:color="auto" w:fill="FFFFFF"/>
        </w:rPr>
        <w:t>年</w:t>
      </w:r>
      <w:r>
        <w:rPr>
          <w:rFonts w:ascii="宋体" w:eastAsia="宋体" w:hAnsi="宋体" w:cs="宋体"/>
          <w:b/>
          <w:i w:val="0"/>
          <w:color w:val="000000"/>
          <w:position w:val="-1"/>
          <w:sz w:val="32"/>
          <w:u w:val="none"/>
        </w:rPr>
        <w:t>第1季度</w:t>
      </w:r>
      <w:r w:rsidRPr="00B53D88">
        <w:rPr>
          <w:rFonts w:ascii="宋体" w:hAnsi="宋体" w:hint="eastAsia"/>
          <w:b/>
          <w:sz w:val="32"/>
          <w:szCs w:val="32"/>
          <w:shd w:val="clear" w:color="auto" w:fill="FFFFFF"/>
        </w:rPr>
        <w:t>报告</w:t>
      </w:r>
    </w:p>
    <w:p w:rsidR="00AF5DEE" w:rsidRPr="00B53D88" w:rsidP="00AF5DEE">
      <w:pPr>
        <w:jc w:val="center"/>
        <w:rPr>
          <w:rFonts w:ascii="宋体" w:hAnsi="宋体"/>
          <w:b/>
          <w:sz w:val="32"/>
          <w:szCs w:val="32"/>
          <w:shd w:val="clear" w:color="auto" w:fill="FFFFFF"/>
        </w:rPr>
      </w:pPr>
      <w:r>
        <w:rPr>
          <w:rFonts w:ascii="宋体" w:hAnsi="宋体" w:hint="eastAsia"/>
          <w:b/>
          <w:sz w:val="32"/>
          <w:szCs w:val="32"/>
          <w:shd w:val="clear" w:color="auto" w:fill="FFFFFF"/>
        </w:rPr>
        <w:t>（产品</w:t>
      </w:r>
      <w:r w:rsidRPr="00B53D88">
        <w:rPr>
          <w:rFonts w:ascii="宋体" w:hAnsi="宋体"/>
          <w:b/>
          <w:sz w:val="32"/>
          <w:szCs w:val="32"/>
          <w:shd w:val="clear" w:color="auto" w:fill="FFFFFF"/>
        </w:rPr>
        <w:t>代码：</w:t>
      </w:r>
      <w:r>
        <w:rPr>
          <w:rFonts w:ascii="宋体" w:eastAsia="宋体" w:hAnsi="宋体" w:cs="宋体"/>
          <w:b/>
          <w:i w:val="0"/>
          <w:color w:val="000000"/>
          <w:position w:val="-1"/>
          <w:sz w:val="32"/>
          <w:u w:val="none"/>
        </w:rPr>
        <w:t>8898</w:t>
      </w:r>
      <w:r w:rsidRPr="00B53D88">
        <w:rPr>
          <w:rFonts w:ascii="宋体" w:hAnsi="宋体" w:hint="eastAsia"/>
          <w:b/>
          <w:sz w:val="32"/>
          <w:szCs w:val="32"/>
          <w:shd w:val="clear" w:color="auto" w:fill="FFFFFF"/>
        </w:rPr>
        <w:t>）</w:t>
      </w:r>
    </w:p>
    <w:p w:rsidR="00AF5DEE" w:rsidRPr="00B66A56" w:rsidP="00AF5DEE">
      <w:pPr>
        <w:jc w:val="center"/>
        <w:rPr>
          <w:rFonts w:ascii="宋体" w:hAnsi="宋体"/>
          <w:b/>
          <w:sz w:val="32"/>
          <w:szCs w:val="32"/>
          <w:shd w:val="clear" w:color="auto" w:fill="FFFFFF"/>
        </w:rPr>
      </w:pPr>
    </w:p>
    <w:p w:rsidR="00AF5DEE" w:rsidRPr="00763A00" w:rsidP="00AF5DEE">
      <w:pPr>
        <w:jc w:val="center"/>
        <w:rPr>
          <w:rFonts w:ascii="宋体" w:hAnsi="宋体"/>
          <w:sz w:val="24"/>
          <w:shd w:val="clear" w:color="auto" w:fill="FFFFFF"/>
        </w:rPr>
      </w:pPr>
    </w:p>
    <w:p w:rsidR="00AF5DEE" w:rsidRPr="00B62036"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7D03D5" w:rsidP="00AF5DEE">
      <w:pPr>
        <w:jc w:val="center"/>
        <w:rPr>
          <w:rFonts w:ascii="宋体" w:hAnsi="宋体"/>
          <w:sz w:val="24"/>
          <w:shd w:val="clear" w:color="auto" w:fill="FFFFFF"/>
        </w:rPr>
      </w:pPr>
    </w:p>
    <w:p w:rsidR="00AF5DEE" w:rsidRPr="004C7F8B" w:rsidP="00AF5DEE">
      <w:pPr>
        <w:jc w:val="center"/>
        <w:rPr>
          <w:rFonts w:ascii="宋体" w:hAnsi="宋体"/>
          <w:sz w:val="24"/>
          <w:shd w:val="clear" w:color="auto" w:fill="FFFFFF"/>
        </w:rPr>
      </w:pPr>
    </w:p>
    <w:p w:rsidR="00AF5DEE" w:rsidRPr="004C7F8B" w:rsidP="00AF5DEE">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理财产品管理人：</w:t>
      </w:r>
      <w:r>
        <w:rPr>
          <w:rFonts w:ascii="宋体" w:eastAsia="宋体" w:hAnsi="宋体" w:cs="宋体"/>
          <w:b w:val="0"/>
          <w:i w:val="0"/>
          <w:color w:val="000000"/>
          <w:position w:val="-1"/>
          <w:sz w:val="24"/>
          <w:u w:val="none"/>
        </w:rPr>
        <w:t>招银理财有限责任公司</w:t>
      </w:r>
    </w:p>
    <w:p w:rsidR="00AF5DEE" w:rsidRPr="004C7F8B" w:rsidP="00AF5DEE">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理财产品托管人：</w:t>
      </w:r>
      <w:r>
        <w:rPr>
          <w:rFonts w:ascii="宋体" w:eastAsia="宋体" w:hAnsi="宋体" w:cs="宋体"/>
          <w:b w:val="0"/>
          <w:i w:val="0"/>
          <w:color w:val="000000"/>
          <w:position w:val="-1"/>
          <w:sz w:val="24"/>
          <w:u w:val="none"/>
        </w:rPr>
        <w:t>招商银行股份有限公司</w:t>
      </w:r>
    </w:p>
    <w:p w:rsidR="00AF5DEE" w:rsidRPr="004C7F8B" w:rsidP="00AF5DEE">
      <w:pPr>
        <w:spacing w:line="360" w:lineRule="auto"/>
        <w:ind w:firstLine="1890" w:firstLineChars="900"/>
        <w:rPr>
          <w:rFonts w:ascii="宋体" w:hAnsi="宋体"/>
          <w:sz w:val="24"/>
          <w:shd w:val="clear" w:color="auto" w:fill="FFFFFF"/>
        </w:rPr>
      </w:pPr>
      <w:r>
        <w:rPr>
          <w:rFonts w:ascii="宋体" w:hAnsi="宋体" w:hint="eastAsia"/>
          <w:sz w:val="24"/>
          <w:shd w:val="clear" w:color="auto" w:fill="FFFFFF"/>
        </w:rPr>
        <w:t xml:space="preserve"> </w:t>
      </w:r>
    </w:p>
    <w:p w:rsidR="0028648D">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680F50" w:rsidRPr="004C7F8B" w:rsidP="00763A00">
      <w:pPr>
        <w:rPr>
          <w:rFonts w:ascii="宋体" w:hAnsi="宋体"/>
          <w:b/>
          <w:sz w:val="32"/>
          <w:szCs w:val="32"/>
          <w:shd w:val="clear" w:color="auto" w:fill="FFFFFF"/>
        </w:rPr>
      </w:pPr>
    </w:p>
    <w:p w:rsidR="00380479" w:rsidRPr="004C7F8B">
      <w:pPr>
        <w:jc w:val="center"/>
        <w:rPr>
          <w:rFonts w:ascii="宋体" w:hAnsi="宋体"/>
          <w:b/>
          <w:sz w:val="30"/>
          <w:shd w:val="clear" w:color="auto" w:fill="FFFFFF"/>
        </w:rPr>
      </w:pPr>
      <w:r w:rsidRPr="004C7F8B">
        <w:rPr>
          <w:rFonts w:ascii="宋体" w:hAnsi="宋体" w:hint="eastAsia"/>
          <w:b/>
          <w:sz w:val="30"/>
          <w:shd w:val="clear" w:color="auto" w:fill="FFFFFF"/>
        </w:rPr>
        <w:t>目    录</w:t>
      </w:r>
    </w:p>
    <w:p w:rsidR="00380479" w:rsidRPr="004C7F8B">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763A00">
        <w:rPr>
          <w:rStyle w:val="Hyperlink"/>
          <w:rFonts w:ascii="宋体" w:hAnsi="宋体" w:hint="eastAsia"/>
          <w:shd w:val="clear" w:color="auto" w:fill="FFFFFF"/>
        </w:rPr>
        <w:t>§1 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sidRPr="00763A00">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sidRPr="00763A00">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sidRPr="00763A00">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sidRPr="00763A00">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sidRPr="00763A00">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_Toc256000007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sidRPr="00763A00">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sidRPr="00763A00">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_Toc256000009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sidRPr="00763A00">
        <w:rPr>
          <w:rStyle w:val="Hyperlink"/>
          <w:rFonts w:hint="eastAsia"/>
          <w:shd w:val="clear" w:color="auto" w:fill="FFFFFF"/>
        </w:rPr>
        <w:t xml:space="preserve">4.2 </w:t>
      </w:r>
      <w:r w:rsidRPr="00763A00" w:rsidR="001A47A8">
        <w:rPr>
          <w:rStyle w:val="Hyperlink"/>
          <w:rFonts w:hint="eastAsia"/>
          <w:shd w:val="clear" w:color="auto" w:fill="FFFFFF"/>
        </w:rPr>
        <w:t>理财产品报告期内关联</w:t>
      </w:r>
      <w:r w:rsidRPr="00763A00">
        <w:rPr>
          <w:rStyle w:val="Hyperlink"/>
          <w:rFonts w:hint="eastAsia"/>
          <w:shd w:val="clear" w:color="auto" w:fill="FFFFFF"/>
        </w:rPr>
        <w:t>交易</w:t>
      </w:r>
      <w:r w:rsidRPr="00763A00" w:rsidR="00657F74">
        <w:rPr>
          <w:rStyle w:val="Hyperlink"/>
          <w:rFonts w:hint="eastAsia"/>
          <w:shd w:val="clear" w:color="auto" w:fill="FFFFFF"/>
        </w:rPr>
        <w:t>发生</w:t>
      </w:r>
      <w:r w:rsidRPr="00763A00">
        <w:rPr>
          <w:rStyle w:val="Hyperlink"/>
          <w:rFonts w:hint="eastAsia"/>
          <w:shd w:val="clear" w:color="auto" w:fill="FFFFFF"/>
        </w:rPr>
        <w:t>情况</w:t>
      </w:r>
      <w:r>
        <w:rPr>
          <w:rStyle w:val="Hyperlink"/>
        </w:rPr>
        <w:tab/>
      </w:r>
      <w:r>
        <w:fldChar w:fldCharType="begin"/>
      </w:r>
      <w:r>
        <w:rPr>
          <w:rStyle w:val="Hyperlink"/>
        </w:rPr>
        <w:instrText xml:space="preserve"> PAGEREF _Toc256000010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sidRPr="00763A00">
        <w:rPr>
          <w:rStyle w:val="Hyperlink"/>
          <w:rFonts w:ascii="宋体" w:hAnsi="宋体" w:hint="eastAsia"/>
          <w:shd w:val="clear" w:color="auto" w:fill="FFFFFF"/>
        </w:rPr>
        <w:t>§</w:t>
      </w:r>
      <w:r w:rsidRPr="00763A00" w:rsidR="003D0033">
        <w:rPr>
          <w:rStyle w:val="Hyperlink"/>
          <w:rFonts w:ascii="宋体" w:hAnsi="宋体"/>
          <w:shd w:val="clear" w:color="auto" w:fill="FFFFFF"/>
        </w:rPr>
        <w:t>5</w:t>
      </w:r>
      <w:r w:rsidRPr="00763A00">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_Toc256000011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position w:val="-1"/>
        </w:rPr>
        <w:t>5.1 期末理财产品资产组合情况</w:t>
      </w:r>
      <w:r>
        <w:rPr>
          <w:rStyle w:val="Hyperlink"/>
        </w:rPr>
        <w:tab/>
      </w:r>
      <w:r>
        <w:fldChar w:fldCharType="begin"/>
      </w:r>
      <w:r>
        <w:rPr>
          <w:rStyle w:val="Hyperlink"/>
        </w:rPr>
        <w:instrText xml:space="preserve"> PAGEREF _Toc256000012 \h </w:instrText>
      </w:r>
      <w:r>
        <w:fldChar w:fldCharType="separate"/>
      </w:r>
      <w:r>
        <w:rPr>
          <w:rStyle w:val="Hyperlink"/>
        </w:rPr>
        <w:t>6</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Pr>
          <w:rStyle w:val="Hyperlink"/>
          <w:position w:val="-1"/>
        </w:rPr>
        <w:t>5.2 期末投资组合前十项资产</w:t>
      </w:r>
      <w:r>
        <w:rPr>
          <w:rStyle w:val="Hyperlink"/>
        </w:rPr>
        <w:tab/>
      </w:r>
      <w:r>
        <w:fldChar w:fldCharType="begin"/>
      </w:r>
      <w:r>
        <w:rPr>
          <w:rStyle w:val="Hyperlink"/>
        </w:rPr>
        <w:instrText xml:space="preserve"> PAGEREF _Toc256000013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Pr>
          <w:rStyle w:val="Hyperlink"/>
          <w:position w:val="-1"/>
        </w:rPr>
        <w:t>5.3 报告期末非标准化债权类资产信息</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Pr>
          <w:rStyle w:val="Hyperlink"/>
          <w:position w:val="-1"/>
        </w:rPr>
        <w:t>5.4 报告期内到期的非标准化债权类资产及收益情况</w:t>
      </w:r>
      <w:r>
        <w:rPr>
          <w:rStyle w:val="Hyperlink"/>
        </w:rPr>
        <w:tab/>
      </w:r>
      <w:r>
        <w:fldChar w:fldCharType="begin"/>
      </w:r>
      <w:r>
        <w:rPr>
          <w:rStyle w:val="Hyperlink"/>
        </w:rPr>
        <w:instrText xml:space="preserve"> PAGEREF _Toc256000015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Pr>
          <w:rStyle w:val="Hyperlink"/>
          <w:position w:val="-1"/>
        </w:rPr>
        <w:t>5.5 报告期末信贷资产收受益权资产信息</w:t>
      </w:r>
      <w:r>
        <w:rPr>
          <w:rStyle w:val="Hyperlink"/>
        </w:rPr>
        <w:tab/>
      </w:r>
      <w:r>
        <w:fldChar w:fldCharType="begin"/>
      </w:r>
      <w:r>
        <w:rPr>
          <w:rStyle w:val="Hyperlink"/>
        </w:rPr>
        <w:instrText xml:space="preserve"> PAGEREF _Toc256000016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Pr>
          <w:rStyle w:val="Hyperlink"/>
        </w:rPr>
        <w:t>5.6 报告期末商品及金融衍生品资产信息</w:t>
      </w:r>
      <w:r>
        <w:rPr>
          <w:rStyle w:val="Hyperlink"/>
        </w:rPr>
        <w:tab/>
      </w:r>
      <w:r>
        <w:fldChar w:fldCharType="begin"/>
      </w:r>
      <w:r>
        <w:rPr>
          <w:rStyle w:val="Hyperlink"/>
        </w:rPr>
        <w:instrText xml:space="preserve"> PAGEREF _Toc256000018 \h </w:instrText>
      </w:r>
      <w:r>
        <w:fldChar w:fldCharType="separate"/>
      </w:r>
      <w:r>
        <w:rPr>
          <w:rStyle w:val="Hyperlink"/>
        </w:rPr>
        <w:t>9</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"_Toc256000020" </w:instrText>
      </w:r>
      <w:r>
        <w:fldChar w:fldCharType="separate"/>
      </w:r>
      <w:r w:rsidRPr="00EA452B">
        <w:rPr>
          <w:rStyle w:val="Hyperlink"/>
          <w:rFonts w:ascii="宋体" w:hAnsi="宋体" w:hint="eastAsia"/>
          <w:shd w:val="clear" w:color="auto" w:fill="FFFFFF"/>
        </w:rPr>
        <w:t>§</w:t>
      </w:r>
      <w:r w:rsidRPr="00EA452B" w:rsidR="009B022D">
        <w:rPr>
          <w:rStyle w:val="Hyperlink"/>
          <w:rFonts w:ascii="宋体" w:hAnsi="宋体"/>
          <w:shd w:val="clear" w:color="auto" w:fill="FFFFFF"/>
        </w:rPr>
        <w:t>6</w:t>
      </w:r>
      <w:r w:rsidRPr="00EA452B" w:rsidR="00F35360">
        <w:rPr>
          <w:rStyle w:val="Hyperlink"/>
          <w:rFonts w:ascii="宋体" w:hAnsi="宋体"/>
          <w:shd w:val="clear" w:color="auto" w:fill="FFFFFF"/>
        </w:rPr>
        <w:t xml:space="preserve"> </w:t>
      </w:r>
      <w:r w:rsidRPr="00EA452B">
        <w:rPr>
          <w:rStyle w:val="Hyperlink"/>
          <w:rFonts w:ascii="宋体" w:hAnsi="宋体" w:hint="eastAsia"/>
          <w:shd w:val="clear" w:color="auto" w:fill="FFFFFF"/>
        </w:rPr>
        <w:t>现金管理类理财产品持有份额不低于20%投资者情况</w:t>
      </w:r>
      <w:r>
        <w:rPr>
          <w:rStyle w:val="Hyperlink"/>
        </w:rPr>
        <w:tab/>
      </w:r>
      <w:r>
        <w:fldChar w:fldCharType="begin"/>
      </w:r>
      <w:r>
        <w:rPr>
          <w:rStyle w:val="Hyperlink"/>
        </w:rPr>
        <w:instrText xml:space="preserve"> PAGEREF _Toc256000020 \h </w:instrText>
      </w:r>
      <w:r>
        <w:fldChar w:fldCharType="separate"/>
      </w:r>
      <w:r>
        <w:rPr>
          <w:rStyle w:val="Hyperlink"/>
        </w:rPr>
        <w:t>9</w:t>
      </w:r>
      <w:r>
        <w:fldChar w:fldCharType="end"/>
      </w:r>
      <w:r>
        <w:fldChar w:fldCharType="end"/>
      </w:r>
    </w:p>
    <w:p w:rsidP="00120F3B">
      <w:r>
        <w:fldChar w:fldCharType="end"/>
      </w:r>
    </w:p>
    <w:p w:rsidR="00120F3B" w:rsidP="000424B4">
      <w:pPr>
        <w:widowControl/>
        <w:jc w:val="left"/>
        <w:rPr>
          <w:shd w:val="clear" w:color="auto" w:fill="FFFFFF"/>
        </w:rPr>
      </w:pPr>
      <w:r>
        <w:rPr>
          <w:shd w:val="clear" w:color="auto" w:fill="FFFFFF"/>
        </w:rPr>
        <w:br w:type="page"/>
      </w:r>
    </w:p>
    <w:p w:rsidR="00380479" w:rsidRPr="00763A00" w:rsidP="00763A00">
      <w:pPr>
        <w:pStyle w:val="Heading1"/>
        <w:spacing w:line="413" w:lineRule="auto"/>
        <w:jc w:val="center"/>
        <w:rPr>
          <w:rFonts w:ascii="宋体" w:hAnsi="宋体"/>
          <w:sz w:val="24"/>
          <w:szCs w:val="24"/>
          <w:shd w:val="clear" w:color="auto" w:fill="FFFFFF"/>
        </w:rPr>
      </w:pPr>
      <w:bookmarkStart w:id="1" w:name="_Toc256000000"/>
      <w:r w:rsidRPr="00763A00">
        <w:rPr>
          <w:rFonts w:ascii="宋体" w:hAnsi="宋体" w:hint="eastAsia"/>
          <w:sz w:val="24"/>
          <w:szCs w:val="24"/>
          <w:shd w:val="clear" w:color="auto" w:fill="FFFFFF"/>
        </w:rPr>
        <w:t>§1 重要提示</w:t>
      </w:r>
      <w:bookmarkEnd w:id="1"/>
    </w:p>
    <w:p w:rsidR="00380479" w:rsidRPr="00763A00" w:rsidP="00763A00">
      <w:pPr>
        <w:pStyle w:val="Heading2"/>
        <w:rPr>
          <w:sz w:val="24"/>
          <w:szCs w:val="24"/>
          <w:shd w:val="clear" w:color="auto" w:fill="FFFFFF"/>
        </w:rPr>
      </w:pPr>
      <w:bookmarkStart w:id="2" w:name="_Toc256000001"/>
      <w:r w:rsidRPr="00763A00">
        <w:rPr>
          <w:rFonts w:hint="eastAsia"/>
          <w:sz w:val="24"/>
          <w:szCs w:val="24"/>
          <w:shd w:val="clear" w:color="auto" w:fill="FFFFFF"/>
        </w:rPr>
        <w:t>1.1 重要提示</w:t>
      </w:r>
      <w:bookmarkEnd w:id="2"/>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Ex>
        <w:trPr>
          <w:trHeight w:val="610"/>
        </w:trPr>
        <w:tc>
          <w:tcPr>
            <w:tcW w:w="8522" w:type="dxa"/>
          </w:tcPr>
          <w:p w:rsidR="00164716" w:rsidRPr="004C7F8B" w:rsidP="00164716">
            <w:pPr>
              <w:numPr>
                <w:ilvl w:val="0"/>
                <w:numId w:val="4"/>
              </w:numPr>
              <w:jc w:val="left"/>
              <w:rPr>
                <w:rFonts w:ascii="仿宋" w:eastAsia="仿宋" w:hAnsi="仿宋"/>
                <w:shd w:val="clear" w:color="auto" w:fill="FFFFFF"/>
              </w:rPr>
            </w:pPr>
            <w:r w:rsidRPr="004C7F8B">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招银理财招赢日日金98号现金管理类理财计划</w:t>
            </w:r>
            <w:r w:rsidRPr="004C7F8B">
              <w:rPr>
                <w:rFonts w:ascii="仿宋" w:eastAsia="仿宋" w:hAnsi="仿宋" w:hint="eastAsia"/>
                <w:shd w:val="clear" w:color="auto" w:fill="FFFFFF"/>
              </w:rPr>
              <w:t>。</w:t>
            </w:r>
            <w:r w:rsidR="0038608E">
              <w:rPr>
                <w:rFonts w:ascii="仿宋" w:eastAsia="仿宋" w:hAnsi="仿宋" w:hint="eastAsia"/>
                <w:shd w:val="clear" w:color="auto" w:fill="FFFFFF"/>
              </w:rPr>
              <w:t>理财</w:t>
            </w:r>
            <w:r w:rsidRPr="004C7F8B">
              <w:rPr>
                <w:rFonts w:ascii="仿宋" w:eastAsia="仿宋" w:hAnsi="仿宋" w:hint="eastAsia"/>
                <w:shd w:val="clear" w:color="auto" w:fill="FFFFFF"/>
              </w:rPr>
              <w:t>产品</w:t>
            </w:r>
            <w:r w:rsidRPr="004C7F8B">
              <w:rPr>
                <w:rFonts w:ascii="仿宋" w:eastAsia="仿宋" w:hAnsi="仿宋"/>
                <w:shd w:val="clear" w:color="auto" w:fill="FFFFFF"/>
              </w:rPr>
              <w:t>管理人</w:t>
            </w:r>
            <w:r w:rsidRPr="004C7F8B">
              <w:rPr>
                <w:rFonts w:ascii="仿宋" w:eastAsia="仿宋" w:hAnsi="仿宋" w:hint="eastAsia"/>
                <w:shd w:val="clear" w:color="auto" w:fill="FFFFFF"/>
              </w:rPr>
              <w:t>保证</w:t>
            </w:r>
            <w:r w:rsidRPr="004C7F8B">
              <w:rPr>
                <w:rFonts w:ascii="仿宋" w:eastAsia="仿宋" w:hAnsi="仿宋"/>
                <w:shd w:val="clear" w:color="auto" w:fill="FFFFFF"/>
              </w:rPr>
              <w:t>本报告所载资料不存在虚假记载、误导性陈述或重大遗漏。</w:t>
            </w:r>
          </w:p>
          <w:p w:rsidR="007A593C" w:rsidP="00164716">
            <w:pPr>
              <w:numPr>
                <w:ilvl w:val="0"/>
                <w:numId w:val="4"/>
              </w:numPr>
              <w:jc w:val="left"/>
              <w:rPr>
                <w:rFonts w:ascii="仿宋" w:eastAsia="仿宋" w:hAnsi="仿宋"/>
                <w:shd w:val="clear" w:color="auto" w:fill="FFFFFF"/>
              </w:rPr>
            </w:pPr>
            <w:r w:rsidRPr="004C7F8B">
              <w:rPr>
                <w:rFonts w:ascii="仿宋" w:eastAsia="仿宋" w:hAnsi="仿宋"/>
                <w:shd w:val="clear" w:color="auto" w:fill="FFFFFF"/>
              </w:rPr>
              <w:t>理财产品管理人承诺以诚实信用、勤勉尽责的原则管理和运用理财产品资产，但不保证理财产品</w:t>
            </w:r>
            <w:r w:rsidR="00330673">
              <w:rPr>
                <w:rFonts w:ascii="仿宋" w:eastAsia="仿宋" w:hAnsi="仿宋" w:hint="eastAsia"/>
                <w:shd w:val="clear" w:color="auto" w:fill="FFFFFF"/>
              </w:rPr>
              <w:t>本金和收益</w:t>
            </w:r>
            <w:r w:rsidRPr="004C7F8B">
              <w:rPr>
                <w:rFonts w:ascii="仿宋" w:eastAsia="仿宋" w:hAnsi="仿宋"/>
                <w:shd w:val="clear" w:color="auto" w:fill="FFFFFF"/>
              </w:rPr>
              <w:t>。</w:t>
            </w:r>
          </w:p>
          <w:p w:rsidR="006038FF" w:rsidRPr="006038FF" w:rsidP="006038FF">
            <w:pPr>
              <w:numPr>
                <w:ilvl w:val="0"/>
                <w:numId w:val="4"/>
              </w:numPr>
              <w:rPr>
                <w:rFonts w:ascii="仿宋" w:eastAsia="仿宋" w:hAnsi="仿宋"/>
                <w:shd w:val="clear" w:color="auto" w:fill="FFFFFF"/>
              </w:rPr>
            </w:pPr>
            <w:r w:rsidRPr="006038FF">
              <w:rPr>
                <w:rFonts w:ascii="仿宋" w:eastAsia="仿宋" w:hAnsi="仿宋" w:hint="eastAsia"/>
                <w:shd w:val="clear" w:color="auto" w:fill="FFFFFF"/>
              </w:rPr>
              <w:t>本产品为净值型产品，业绩表现将随市场波动，具有不确定性，</w:t>
            </w:r>
            <w:r w:rsidRPr="008E3867">
              <w:rPr>
                <w:rFonts w:ascii="仿宋" w:eastAsia="仿宋" w:hAnsi="仿宋" w:hint="eastAsia"/>
                <w:b/>
                <w:bCs/>
                <w:shd w:val="clear" w:color="auto" w:fill="FFFFFF"/>
              </w:rPr>
              <w:t>理财产品过往业绩并不代表其未来表现，不等于理财产品实际收益。</w:t>
            </w:r>
            <w:r w:rsidRPr="006038FF">
              <w:rPr>
                <w:rFonts w:ascii="仿宋" w:eastAsia="仿宋" w:hAnsi="仿宋" w:hint="eastAsia"/>
                <w:b/>
                <w:shd w:val="clear" w:color="auto" w:fill="FFFFFF"/>
              </w:rPr>
              <w:t>理财非存款、产品有风险、投资须谨慎</w:t>
            </w:r>
            <w:r w:rsidRPr="006038FF">
              <w:rPr>
                <w:rFonts w:ascii="仿宋" w:eastAsia="仿宋" w:hAnsi="仿宋" w:hint="eastAsia"/>
                <w:shd w:val="clear" w:color="auto" w:fill="FFFFFF"/>
              </w:rPr>
              <w:t>，投资者在作出投资决策前应仔细阅读本理财产品的销售文件。</w:t>
            </w:r>
          </w:p>
          <w:p w:rsidR="00120F3B" w:rsidP="00120F3B">
            <w:pPr>
              <w:numPr>
                <w:ilvl w:val="0"/>
                <w:numId w:val="4"/>
              </w:numPr>
              <w:jc w:val="left"/>
              <w:rPr>
                <w:rFonts w:ascii="仿宋" w:eastAsia="仿宋" w:hAnsi="仿宋"/>
                <w:shd w:val="clear" w:color="auto" w:fill="FFFFFF"/>
              </w:rPr>
            </w:pPr>
            <w:r w:rsidRPr="0033503F">
              <w:rPr>
                <w:rFonts w:ascii="仿宋" w:eastAsia="仿宋" w:hAnsi="仿宋"/>
                <w:shd w:val="clear" w:color="auto" w:fill="FFFFFF"/>
              </w:rPr>
              <w:t>本报告期自</w:t>
            </w:r>
            <w:r>
              <w:rPr>
                <w:rFonts w:ascii="仿宋" w:eastAsia="仿宋" w:hAnsi="仿宋" w:cs="仿宋"/>
                <w:b w:val="0"/>
                <w:i w:val="0"/>
                <w:color w:val="000000"/>
                <w:position w:val="-1"/>
                <w:u w:val="none"/>
              </w:rPr>
              <w:t>2026年01月01日</w:t>
            </w:r>
            <w:r w:rsidRPr="0033503F">
              <w:rPr>
                <w:rFonts w:ascii="仿宋" w:eastAsia="仿宋" w:hAnsi="仿宋"/>
                <w:shd w:val="clear" w:color="auto" w:fill="FFFFFF"/>
              </w:rPr>
              <w:t>起至</w:t>
            </w:r>
            <w:r>
              <w:rPr>
                <w:rFonts w:ascii="仿宋" w:eastAsia="仿宋" w:hAnsi="仿宋" w:cs="仿宋"/>
                <w:b w:val="0"/>
                <w:i w:val="0"/>
                <w:color w:val="000000"/>
                <w:position w:val="-1"/>
                <w:u w:val="none"/>
              </w:rPr>
              <w:t>2026年03月31日</w:t>
            </w:r>
            <w:r w:rsidRPr="0033503F">
              <w:rPr>
                <w:rFonts w:ascii="仿宋" w:eastAsia="仿宋" w:hAnsi="仿宋"/>
                <w:shd w:val="clear" w:color="auto" w:fill="FFFFFF"/>
              </w:rPr>
              <w:t>止。</w:t>
            </w:r>
          </w:p>
          <w:p w:rsidR="0033503F" w:rsidRPr="0033503F" w:rsidP="00AA0D69">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7A7921" w:rsidRPr="00A22BCB" w:rsidP="00A22BCB">
      <w:pPr>
        <w:pStyle w:val="Heading1"/>
        <w:spacing w:line="360" w:lineRule="auto"/>
        <w:jc w:val="center"/>
        <w:rPr>
          <w:rFonts w:ascii="宋体" w:hAnsi="宋体"/>
          <w:sz w:val="24"/>
          <w:szCs w:val="24"/>
          <w:shd w:val="clear" w:color="auto" w:fill="FFFFFF"/>
        </w:rPr>
      </w:pPr>
      <w:bookmarkStart w:id="3" w:name="_Toc256000002"/>
      <w:r w:rsidRPr="00763A00">
        <w:rPr>
          <w:rFonts w:ascii="宋体" w:hAnsi="宋体" w:hint="eastAsia"/>
          <w:sz w:val="24"/>
          <w:szCs w:val="24"/>
          <w:shd w:val="clear" w:color="auto" w:fill="FFFFFF"/>
        </w:rPr>
        <w:t>§2 理财产品简介</w:t>
      </w:r>
      <w:bookmarkEnd w:id="3"/>
      <w:bookmarkStart w:id="4" w:name="基础信息"/>
    </w:p>
    <w:p w:rsidR="00A3418A">
      <w:pPr>
        <w:pStyle w:val="Heading2"/>
        <w:rPr>
          <w:sz w:val="24"/>
          <w:szCs w:val="24"/>
          <w:shd w:val="clear" w:color="auto" w:fill="FFFFFF"/>
        </w:rPr>
      </w:pPr>
      <w:bookmarkStart w:id="5" w:name="_Toc256000003"/>
      <w:r>
        <w:rPr>
          <w:rFonts w:hint="eastAsia"/>
          <w:sz w:val="24"/>
          <w:szCs w:val="24"/>
          <w:shd w:val="clear" w:color="auto" w:fill="FFFFFF"/>
        </w:rPr>
        <w:t>2.1 理财产品基本情况</w:t>
      </w:r>
      <w:bookmarkEnd w:id="5"/>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90"/>
        <w:gridCol w:w="5406"/>
      </w:tblGrid>
      <w:tr w:rsidTr="00CA0B1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理财产品产品代码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8898</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理财产品名称</w:t>
            </w:r>
          </w:p>
        </w:tc>
        <w:tc>
          <w:tcPr>
            <w:tcW w:w="3258" w:type="pct"/>
            <w:shd w:val="clear" w:color="auto" w:fill="auto"/>
          </w:tcPr>
          <w:p w:rsidR="00A3418A" w:rsidP="00C841A7">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招银理财招赢日日金98号现金管理类理财计划</w:t>
            </w:r>
          </w:p>
        </w:tc>
      </w:tr>
      <w:tr w:rsidTr="00CA0B1A">
        <w:tblPrEx>
          <w:tblW w:w="5000" w:type="pct"/>
          <w:tblLook w:val="04A0"/>
        </w:tblPrEx>
        <w:trPr>
          <w:trHeight w:val="259"/>
        </w:trPr>
        <w:tc>
          <w:tcPr>
            <w:tcW w:w="1742" w:type="pct"/>
            <w:shd w:val="clear" w:color="auto" w:fill="auto"/>
            <w:vAlign w:val="center"/>
          </w:tcPr>
          <w:p w:rsidR="00A3418A" w:rsidP="00C841A7">
            <w:pPr>
              <w:rPr>
                <w:rFonts w:ascii="宋体" w:hAnsi="宋体"/>
                <w:szCs w:val="21"/>
                <w:shd w:val="clear" w:color="auto" w:fill="FFFFFF"/>
              </w:rPr>
            </w:pPr>
            <w:r>
              <w:rPr>
                <w:rFonts w:ascii="宋体" w:hAnsi="宋体" w:hint="eastAsia"/>
                <w:szCs w:val="21"/>
                <w:shd w:val="clear" w:color="auto" w:fill="FFFFFF"/>
              </w:rPr>
              <w:t>理财产品登记编码</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Z7001625000528</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w:t>
            </w:r>
            <w:r>
              <w:rPr>
                <w:rFonts w:ascii="宋体" w:hAnsi="宋体"/>
                <w:szCs w:val="21"/>
                <w:shd w:val="clear" w:color="auto" w:fill="FFFFFF"/>
              </w:rPr>
              <w:t>投资</w:t>
            </w:r>
            <w:r>
              <w:rPr>
                <w:rFonts w:ascii="宋体" w:hAnsi="宋体" w:hint="eastAsia"/>
                <w:szCs w:val="21"/>
                <w:shd w:val="clear" w:color="auto" w:fill="FFFFFF"/>
              </w:rPr>
              <w:t>类型</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固定收益类产品</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产品募集</w:t>
            </w:r>
            <w:r>
              <w:rPr>
                <w:rFonts w:ascii="宋体" w:hAnsi="宋体"/>
                <w:szCs w:val="21"/>
                <w:shd w:val="clear" w:color="auto" w:fill="FFFFFF"/>
              </w:rPr>
              <w:t>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理财产品运作方式</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开放式</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8898A：7天通知存款利率；8898K：中国人民银行公布的7天通知存款利率；8898N：中国人民银行公布的7天通知存款利率；8898P：中国人民银行公布的7天通知存款利率；8898PA：中国人民银行公布的7天通知存款利率；8898PF：中国人民银行公布的7天通知存款利率；8898TL：中国人民银行公布的7天通知存款利率（本产品为净值型产品，业绩表现将随市场波动，具有不确定性。）</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szCs w:val="21"/>
                <w:shd w:val="clear" w:color="auto" w:fill="FFFFFF"/>
              </w:rPr>
              <w:t>业绩</w:t>
            </w:r>
            <w:r>
              <w:rPr>
                <w:rFonts w:ascii="宋体" w:hAnsi="宋体"/>
                <w:szCs w:val="21"/>
                <w:shd w:val="clear" w:color="auto" w:fill="FFFFFF"/>
              </w:rPr>
              <w:t>比较基准测算说明</w:t>
            </w:r>
            <w:r>
              <w:rPr>
                <w:rFonts w:ascii="宋体" w:hAnsi="宋体" w:hint="eastAsia"/>
                <w:szCs w:val="21"/>
                <w:shd w:val="clear" w:color="auto" w:fill="FFFFFF"/>
              </w:rPr>
              <w:t>（如有）</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本产品资金100%投资于现金、银行存款、债券回购、中央银行票据、同业存单、债券、资产支持证券及其他监管机构认可的具有良好流动性的货币市场工具。因此根据产品风险收益特征，选取：【中国人民银行公布的7天通知存款利率】作为本产品的业绩比较基准。</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产品风险</w:t>
            </w:r>
            <w:r>
              <w:rPr>
                <w:rFonts w:ascii="宋体" w:hAnsi="宋体"/>
                <w:color w:val="000000"/>
                <w:szCs w:val="21"/>
                <w:shd w:val="clear" w:color="auto" w:fill="FFFFFF"/>
              </w:rPr>
              <w:t>评级</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PR1</w:t>
            </w:r>
          </w:p>
        </w:tc>
      </w:tr>
      <w:tr w:rsidTr="00CA0B1A">
        <w:tblPrEx>
          <w:tblW w:w="5000" w:type="pct"/>
          <w:tblLook w:val="04A0"/>
        </w:tblPrEx>
        <w:tc>
          <w:tcPr>
            <w:tcW w:w="1742" w:type="pct"/>
            <w:shd w:val="clear" w:color="auto" w:fill="auto"/>
          </w:tcPr>
          <w:p w:rsidR="00A3418A" w:rsidP="00C841A7">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100.02</w:t>
            </w:r>
            <w:r w:rsidR="002E0136">
              <w:rPr>
                <w:rFonts w:ascii="宋体" w:hAnsi="宋体"/>
                <w:kern w:val="0"/>
                <w:szCs w:val="21"/>
                <w:shd w:val="clear" w:color="auto" w:fill="FFFFFF"/>
              </w:rPr>
              <w:t>%</w:t>
            </w:r>
            <w:bookmarkStart w:id="6" w:name="杠杆水平"/>
            <w:bookmarkEnd w:id="6"/>
          </w:p>
        </w:tc>
      </w:tr>
      <w:tr w:rsidTr="00CA0B1A">
        <w:tblPrEx>
          <w:tblW w:w="5000" w:type="pct"/>
          <w:tblLook w:val="04A0"/>
        </w:tblPrEx>
        <w:tc>
          <w:tcPr>
            <w:tcW w:w="1742" w:type="pct"/>
            <w:shd w:val="clear" w:color="auto" w:fill="auto"/>
          </w:tcPr>
          <w:p w:rsidR="00A3418A" w:rsidP="00C841A7">
            <w:pPr>
              <w:rPr>
                <w:rFonts w:ascii="宋体" w:hAnsi="宋体"/>
                <w:kern w:val="0"/>
                <w:szCs w:val="21"/>
                <w:shd w:val="clear" w:color="auto" w:fill="FFFFFF"/>
              </w:rPr>
            </w:pPr>
            <w:r>
              <w:rPr>
                <w:rFonts w:ascii="宋体" w:hAnsi="宋体" w:hint="eastAsia"/>
                <w:color w:val="000000"/>
                <w:szCs w:val="21"/>
                <w:shd w:val="clear" w:color="auto" w:fill="FFFFFF"/>
              </w:rPr>
              <w:t>报告期末理财产品份额总额</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7,421,005,513.56</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理财产品成立日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2025年05月30日</w:t>
            </w:r>
          </w:p>
        </w:tc>
      </w:tr>
      <w:tr w:rsidTr="00CA0B1A">
        <w:tblPrEx>
          <w:tblW w:w="5000" w:type="pct"/>
          <w:tblLook w:val="04A0"/>
        </w:tblPrEx>
        <w:tc>
          <w:tcPr>
            <w:tcW w:w="1742" w:type="pct"/>
            <w:shd w:val="clear" w:color="auto" w:fill="auto"/>
          </w:tcPr>
          <w:p w:rsidR="00A3418A" w:rsidP="00C841A7">
            <w:pPr>
              <w:rPr>
                <w:rFonts w:ascii="宋体" w:hAnsi="宋体"/>
                <w:szCs w:val="21"/>
                <w:shd w:val="clear" w:color="auto" w:fill="FFFFFF"/>
              </w:rPr>
            </w:pPr>
            <w:r>
              <w:rPr>
                <w:rFonts w:ascii="宋体" w:hAnsi="宋体" w:hint="eastAsia"/>
                <w:color w:val="000000"/>
                <w:szCs w:val="21"/>
                <w:shd w:val="clear" w:color="auto" w:fill="FFFFFF"/>
              </w:rPr>
              <w:t>理财产品计划到期日</w:t>
            </w:r>
          </w:p>
        </w:tc>
        <w:tc>
          <w:tcPr>
            <w:tcW w:w="3258" w:type="pct"/>
            <w:shd w:val="clear" w:color="auto" w:fill="auto"/>
          </w:tcPr>
          <w:p w:rsidR="00A3418A" w:rsidP="00C841A7">
            <w:pPr>
              <w:rPr>
                <w:rFonts w:ascii="宋体" w:hAnsi="宋体"/>
                <w:kern w:val="0"/>
                <w:szCs w:val="21"/>
                <w:shd w:val="clear" w:color="auto" w:fill="FFFFFF"/>
              </w:rPr>
            </w:pPr>
            <w:r>
              <w:rPr>
                <w:rFonts w:ascii="宋体" w:eastAsia="宋体" w:hAnsi="宋体" w:cs="宋体"/>
                <w:b w:val="0"/>
                <w:i w:val="0"/>
                <w:color w:val="000000"/>
                <w:position w:val="-1"/>
                <w:u w:val="none"/>
              </w:rPr>
              <w:t>2055年05月30日（如遇非工作日/交易日顺延至下一工作日/交易日，具体以产品说明书为准，或在理财计划存续期内理财产品管理人根据本产品说明书约定事由宣布提前或延期终止本理财计划之日。）</w:t>
            </w:r>
          </w:p>
        </w:tc>
      </w:tr>
    </w:tbl>
    <w:p w:rsidR="00A3418A">
      <w:r w:rsidRPr="00E3035C">
        <w:rPr>
          <w:rFonts w:ascii="宋体" w:hAnsi="宋体" w:hint="eastAsia"/>
          <w:shd w:val="clear" w:color="auto" w:fill="FFFFFF"/>
        </w:rPr>
        <w:t>注：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w:t>
      </w:r>
    </w:p>
    <w:p w:rsidRPr="00763A00" w:rsidP="00A22BCB">
      <w:pPr>
        <w:pStyle w:val="Heading1"/>
        <w:spacing w:line="360" w:lineRule="auto"/>
        <w:jc w:val="center"/>
        <w:rPr>
          <w:rFonts w:ascii="宋体" w:hAnsi="宋体" w:hint="eastAsia"/>
          <w:sz w:val="24"/>
          <w:szCs w:val="24"/>
          <w:shd w:val="clear" w:color="auto" w:fill="FFFFFF"/>
        </w:rPr>
      </w:pPr>
      <w:bookmarkEnd w:id="4"/>
    </w:p>
    <w:p w:rsidR="00380479" w:rsidRPr="00763A00" w:rsidP="00E67D89">
      <w:pPr>
        <w:pStyle w:val="Heading1"/>
        <w:spacing w:line="360" w:lineRule="auto"/>
        <w:jc w:val="center"/>
        <w:rPr>
          <w:rFonts w:ascii="宋体" w:hAnsi="宋体"/>
          <w:sz w:val="24"/>
          <w:szCs w:val="24"/>
          <w:shd w:val="clear" w:color="auto" w:fill="FFFFFF"/>
        </w:rPr>
      </w:pPr>
      <w:bookmarkStart w:id="7" w:name="_Toc256000005"/>
      <w:r w:rsidRPr="00763A00">
        <w:rPr>
          <w:rFonts w:ascii="宋体" w:hAnsi="宋体" w:hint="eastAsia"/>
          <w:sz w:val="24"/>
          <w:szCs w:val="24"/>
          <w:shd w:val="clear" w:color="auto" w:fill="FFFFFF"/>
        </w:rPr>
        <w:t>§3 理财产品净值表现</w:t>
      </w:r>
      <w:bookmarkEnd w:id="7"/>
    </w:p>
    <w:p w:rsidR="00380479" w:rsidRPr="00763A00" w:rsidP="00763A00">
      <w:pPr>
        <w:pStyle w:val="Heading2"/>
        <w:rPr>
          <w:sz w:val="24"/>
          <w:szCs w:val="24"/>
          <w:shd w:val="clear" w:color="auto" w:fill="FFFFFF"/>
        </w:rPr>
      </w:pPr>
      <w:bookmarkStart w:id="8" w:name="_Toc256000006"/>
      <w:r w:rsidRPr="00763A00">
        <w:rPr>
          <w:rFonts w:hint="eastAsia"/>
          <w:sz w:val="24"/>
          <w:szCs w:val="24"/>
          <w:shd w:val="clear" w:color="auto" w:fill="FFFFFF"/>
        </w:rPr>
        <w:t>3.1 截至报告期末产品资产净值及份额净值</w:t>
      </w:r>
      <w:bookmarkEnd w:id="8"/>
    </w:p>
    <w:p w:rsidR="006A3FAD" w:rsidRPr="00AE2E5C" w:rsidP="00877481">
      <w:pPr>
        <w:adjustRightInd w:val="0"/>
        <w:snapToGrid w:val="0"/>
        <w:ind w:firstLine="420" w:firstLineChars="200"/>
        <w:rPr>
          <w:rFonts w:ascii="宋体" w:hAnsi="宋体"/>
          <w:sz w:val="24"/>
          <w:shd w:val="clear" w:color="auto" w:fill="FFFFFF"/>
        </w:rPr>
      </w:pPr>
      <w:r w:rsidRPr="0042646D">
        <w:rPr>
          <w:rFonts w:ascii="宋体" w:hAnsi="宋体" w:hint="eastAsia"/>
          <w:sz w:val="24"/>
          <w:shd w:val="clear" w:color="auto" w:fill="FFFFFF"/>
        </w:rPr>
        <w:t>截至本报告期末，产品的资产净值为</w:t>
      </w:r>
      <w:r>
        <w:rPr>
          <w:rFonts w:ascii="宋体" w:eastAsia="宋体" w:hAnsi="宋体" w:cs="宋体"/>
          <w:b w:val="0"/>
          <w:i w:val="0"/>
          <w:color w:val="000000"/>
          <w:position w:val="-1"/>
          <w:sz w:val="24"/>
          <w:u w:val="none"/>
        </w:rPr>
        <w:t>7,421,005,513.56</w:t>
      </w:r>
      <w:r>
        <w:rPr>
          <w:rFonts w:ascii="宋体" w:eastAsia="宋体" w:hAnsi="宋体" w:cs="宋体"/>
          <w:b w:val="0"/>
          <w:i w:val="0"/>
          <w:color w:val="000000"/>
          <w:position w:val="-1"/>
          <w:sz w:val="24"/>
          <w:u w:val="none"/>
        </w:rPr>
        <w:t>元</w:t>
      </w:r>
      <w:r>
        <w:rPr>
          <w:rFonts w:ascii="宋体" w:eastAsia="宋体" w:hAnsi="宋体" w:cs="宋体"/>
          <w:b w:val="0"/>
          <w:i w:val="0"/>
          <w:color w:val="000000"/>
          <w:position w:val="-1"/>
          <w:sz w:val="24"/>
          <w:u w:val="none"/>
        </w:rPr>
        <w:t>，每万份收益为0.5034元，七日年化收益率为1.7900%。</w:t>
      </w:r>
    </w:p>
    <w:p w:rsidR="00380479" w:rsidRPr="00763A00" w:rsidP="003F7FB0">
      <w:pPr>
        <w:pStyle w:val="Heading2"/>
        <w:rPr>
          <w:sz w:val="24"/>
          <w:szCs w:val="24"/>
          <w:shd w:val="clear" w:color="auto" w:fill="FFFFFF"/>
        </w:rPr>
      </w:pPr>
      <w:bookmarkStart w:id="9" w:name="_Toc256000007"/>
      <w:r w:rsidRPr="00763A00">
        <w:rPr>
          <w:rFonts w:hint="eastAsia"/>
          <w:sz w:val="24"/>
          <w:szCs w:val="24"/>
          <w:shd w:val="clear" w:color="auto" w:fill="FFFFFF"/>
        </w:rPr>
        <w:t>3.2 理财产品年化收益率</w:t>
      </w:r>
      <w:bookmarkEnd w:id="9"/>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1"/>
        <w:gridCol w:w="992"/>
        <w:gridCol w:w="993"/>
        <w:gridCol w:w="850"/>
        <w:gridCol w:w="851"/>
        <w:gridCol w:w="992"/>
        <w:gridCol w:w="992"/>
        <w:gridCol w:w="992"/>
        <w:gridCol w:w="1134"/>
      </w:tblGrid>
      <w:tr w:rsidTr="00B45516">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841"/>
          <w:jc w:val="center"/>
        </w:trPr>
        <w:tc>
          <w:tcPr>
            <w:tcW w:w="1271" w:type="dxa"/>
            <w:shd w:val="clear" w:color="auto" w:fill="BFBFBF"/>
            <w:vAlign w:val="center"/>
          </w:tcPr>
          <w:p w:rsidR="00B1713F" w:rsidRPr="00654677" w:rsidP="00B1713F">
            <w:pPr>
              <w:widowControl/>
              <w:jc w:val="center"/>
              <w:rPr>
                <w:rFonts w:ascii="宋体" w:hAnsi="宋体" w:cs="宋体"/>
                <w:b/>
                <w:color w:val="333333"/>
                <w:kern w:val="0"/>
                <w:szCs w:val="21"/>
                <w:highlight w:val="lightGray"/>
                <w:shd w:val="clear" w:color="auto" w:fill="FFFFFF"/>
              </w:rPr>
            </w:pPr>
            <w:r w:rsidRPr="00654677">
              <w:rPr>
                <w:rFonts w:ascii="宋体" w:hAnsi="宋体" w:cs="宋体" w:hint="eastAsia"/>
                <w:b/>
                <w:szCs w:val="21"/>
              </w:rPr>
              <w:t>阶段</w:t>
            </w:r>
          </w:p>
        </w:tc>
        <w:tc>
          <w:tcPr>
            <w:tcW w:w="992" w:type="dxa"/>
            <w:shd w:val="clear" w:color="auto" w:fill="BFBFBF"/>
            <w:vAlign w:val="center"/>
          </w:tcPr>
          <w:p w:rsidR="00B1713F" w:rsidRPr="00654677" w:rsidP="00B1713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三个月</w:t>
            </w:r>
          </w:p>
        </w:tc>
        <w:tc>
          <w:tcPr>
            <w:tcW w:w="993" w:type="dxa"/>
            <w:shd w:val="clear" w:color="auto" w:fill="BFBFBF"/>
            <w:vAlign w:val="center"/>
          </w:tcPr>
          <w:p w:rsidR="00B1713F" w:rsidRPr="00654677" w:rsidP="00B1713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六个月</w:t>
            </w:r>
          </w:p>
        </w:tc>
        <w:tc>
          <w:tcPr>
            <w:tcW w:w="850" w:type="dxa"/>
            <w:shd w:val="clear" w:color="auto" w:fill="BFBFBF"/>
            <w:vAlign w:val="center"/>
          </w:tcPr>
          <w:p w:rsidR="00B1713F" w:rsidRPr="00661791" w:rsidP="00B1713F">
            <w:pPr>
              <w:widowControl/>
              <w:jc w:val="center"/>
              <w:rPr>
                <w:rFonts w:ascii="宋体" w:hAnsi="宋体" w:cs="宋体"/>
                <w:b/>
                <w:szCs w:val="21"/>
              </w:rPr>
            </w:pPr>
            <w:r w:rsidRPr="00661791">
              <w:rPr>
                <w:rFonts w:ascii="宋体" w:hAnsi="宋体" w:cs="宋体" w:hint="eastAsia"/>
                <w:b/>
                <w:szCs w:val="21"/>
              </w:rPr>
              <w:t>近1个会计年度</w:t>
            </w:r>
          </w:p>
        </w:tc>
        <w:tc>
          <w:tcPr>
            <w:tcW w:w="851" w:type="dxa"/>
            <w:shd w:val="clear" w:color="auto" w:fill="BFBFBF"/>
            <w:vAlign w:val="center"/>
          </w:tcPr>
          <w:p w:rsidR="00B1713F" w:rsidRPr="00654677" w:rsidP="00B1713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B1713F" w:rsidRPr="00654677" w:rsidP="00B1713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B1713F" w:rsidRPr="00654677" w:rsidP="00B1713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B1713F" w:rsidRPr="00654677" w:rsidP="00B1713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B1713F" w:rsidRPr="00654677" w:rsidP="00B1713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w:t>
            </w:r>
            <w:r w:rsidRPr="00654677">
              <w:rPr>
                <w:rFonts w:ascii="宋体" w:hAnsi="宋体" w:cs="宋体" w:hint="eastAsia"/>
                <w:b/>
                <w:szCs w:val="21"/>
              </w:rPr>
              <w:t>至今</w:t>
            </w:r>
          </w:p>
        </w:tc>
      </w:tr>
      <w:tr w:rsidTr="00B45516">
        <w:tblPrEx>
          <w:tblW w:w="9067" w:type="dxa"/>
          <w:jc w:val="center"/>
          <w:tblLayout w:type="fixed"/>
          <w:tblLook w:val="000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sidRPr="00712E2F">
              <w:rPr>
                <w:rFonts w:ascii="宋体" w:hAnsi="宋体" w:hint="eastAsia"/>
                <w:szCs w:val="21"/>
                <w:shd w:val="clear" w:color="auto" w:fill="FFFFFF"/>
              </w:rPr>
              <w:t>年化</w:t>
            </w:r>
            <w:r w:rsidRPr="00712E2F">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1.87%</w:t>
            </w:r>
          </w:p>
        </w:tc>
        <w:tc>
          <w:tcPr>
            <w:tcW w:w="993"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1.94%</w:t>
            </w:r>
          </w:p>
        </w:tc>
        <w:tc>
          <w:tcPr>
            <w:tcW w:w="850"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851"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B1713F" w:rsidRPr="00712E2F" w:rsidP="00B1713F">
            <w:pPr>
              <w:snapToGrid w:val="0"/>
              <w:jc w:val="center"/>
              <w:rPr>
                <w:rFonts w:ascii="宋体" w:hAnsi="宋体"/>
                <w:szCs w:val="21"/>
                <w:shd w:val="clear" w:color="auto" w:fill="FFFFFF"/>
              </w:rPr>
            </w:pPr>
            <w:r>
              <w:rPr>
                <w:rFonts w:ascii="宋体" w:eastAsia="宋体" w:hAnsi="宋体" w:cs="宋体"/>
                <w:b w:val="0"/>
                <w:i w:val="0"/>
                <w:color w:val="000000"/>
                <w:position w:val="-1"/>
                <w:u w:val="none"/>
              </w:rPr>
              <w:t>1.89%</w:t>
            </w:r>
          </w:p>
        </w:tc>
      </w:tr>
    </w:tbl>
    <w:p w:rsidR="00B1713F" w:rsidP="00B1713F">
      <w:r>
        <w:rPr>
          <w:rFonts w:hint="eastAsia"/>
        </w:rPr>
        <w:t>注：</w:t>
      </w:r>
    </w:p>
    <w:p w:rsidR="00B1713F" w:rsidP="00B1713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2025年05月30日</w:t>
      </w:r>
      <w:r>
        <w:rPr>
          <w:rFonts w:ascii="宋体" w:hAnsi="宋体" w:cs="宋体" w:hint="eastAsia"/>
        </w:rPr>
        <w:t>，数据截至</w:t>
      </w:r>
      <w:r>
        <w:rPr>
          <w:rFonts w:ascii="宋体" w:eastAsia="宋体" w:hAnsi="宋体" w:cs="宋体"/>
          <w:b w:val="0"/>
          <w:i w:val="0"/>
          <w:color w:val="000000"/>
          <w:position w:val="-1"/>
          <w:u w:val="none"/>
        </w:rPr>
        <w:t>2026年03月31日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6C14C4" w:rsidP="006C14C4">
      <w:pPr>
        <w:rPr>
          <w:rFonts w:ascii="宋体" w:hAnsi="宋体" w:cs="宋体"/>
          <w:position w:val="-1"/>
        </w:rPr>
      </w:pPr>
      <w:r>
        <w:rPr>
          <w:rFonts w:ascii="宋体" w:hAnsi="宋体" w:cs="宋体" w:hint="eastAsia"/>
          <w:position w:val="-1"/>
        </w:rPr>
        <w:t>2.如为报万份收益的产品，则年化收益率指该产品对应区间内的区间年化收益率，赎回成本未计入，并非最终持有期到期收益率。</w:t>
      </w:r>
    </w:p>
    <w:p w:rsidR="006C14C4" w:rsidP="006C14C4">
      <w:pPr>
        <w:rPr>
          <w:rFonts w:ascii="宋体" w:hAnsi="宋体" w:cs="宋体"/>
          <w:szCs w:val="21"/>
          <w:shd w:val="clear" w:color="auto" w:fill="FFFFFF"/>
        </w:rPr>
      </w:pPr>
      <w:r>
        <w:rPr>
          <w:rFonts w:ascii="宋体" w:hAnsi="宋体" w:cs="宋体" w:hint="eastAsia"/>
          <w:szCs w:val="21"/>
          <w:shd w:val="clear" w:color="auto" w:fill="FFFFFF"/>
        </w:rPr>
        <w:t>近N个月年化收益率（现金产品）</w:t>
      </w:r>
    </w:p>
    <w:p w:rsidR="006C14C4" w:rsidP="00D94C60">
      <w:pPr>
        <w:spacing w:line="360" w:lineRule="auto"/>
        <w:rPr>
          <w:rFonts w:ascii="宋体" w:hAnsi="宋体"/>
          <w:sz w:val="24"/>
        </w:rPr>
      </w:pPr>
      <w:r>
        <w:rPr>
          <w:rFonts w:ascii="宋体" w:hAnsi="宋体" w:hint="eastAsia"/>
          <w:sz w:val="24"/>
        </w:rPr>
        <w:t>=</w:t>
      </w:r>
      <m:oMath>
        <m:d>
          <m:dPr>
            <m:begChr m:val="{"/>
            <m:endChr m:val="}"/>
            <m:ctrlPr>
              <w:rPr>
                <w:rFonts w:ascii="Cambria Math" w:hAnsi="Cambria Math"/>
                <w:i/>
                <w:sz w:val="24"/>
                <w:szCs w:val="24"/>
              </w:rPr>
            </m:ctrlPr>
          </m:dPr>
          <m:e>
            <m:sSup>
              <m:sSupPr>
                <m:ctrlPr>
                  <w:rPr>
                    <w:rFonts w:ascii="Cambria Math" w:hAnsi="Cambria Math"/>
                    <w:i/>
                    <w:sz w:val="24"/>
                    <w:szCs w:val="24"/>
                  </w:rPr>
                </m:ctrlPr>
              </m:sSupPr>
              <m:e>
                <m:d>
                  <m:dPr>
                    <m:begChr m:val="["/>
                    <m:endChr m:val="]"/>
                    <m:ctrlPr>
                      <w:rPr>
                        <w:rFonts w:ascii="Cambria Math" w:hAnsi="Cambria Math"/>
                        <w:i/>
                        <w:sz w:val="24"/>
                        <w:szCs w:val="24"/>
                      </w:rPr>
                    </m:ctrlPr>
                  </m:dPr>
                  <m:e>
                    <m:nary>
                      <m:naryPr>
                        <m:chr m:val="∏"/>
                        <m:limLoc m:val="undOvr"/>
                        <m:ctrlPr>
                          <w:rPr>
                            <w:rFonts w:ascii="Cambria Math" w:hAnsi="Cambria Math"/>
                            <w:i/>
                            <w:sz w:val="24"/>
                            <w:szCs w:val="24"/>
                          </w:rPr>
                        </m:ctrlPr>
                      </m:naryPr>
                      <m:sub>
                        <m:r>
                          <w:rPr>
                            <w:rFonts w:ascii="Cambria Math" w:hAnsi="Cambria Math"/>
                            <w:sz w:val="24"/>
                          </w:rPr>
                          <m:t>i=1</m:t>
                        </m:r>
                      </m:sub>
                      <m:sup>
                        <m:r>
                          <w:rPr>
                            <w:rFonts w:ascii="Cambria Math" w:hAnsi="Cambria Math"/>
                            <w:sz w:val="24"/>
                          </w:rPr>
                          <m:t>N</m:t>
                        </m:r>
                      </m:sup>
                      <m:e>
                        <m:r>
                          <w:rPr>
                            <w:rFonts w:ascii="Cambria Math" w:hAnsi="Cambria Math"/>
                            <w:sz w:val="24"/>
                          </w:rPr>
                          <m:t>(1+</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rPr>
                                  <m:t>R</m:t>
                                </m:r>
                              </m:e>
                              <m:sub>
                                <m:r>
                                  <w:rPr>
                                    <w:rFonts w:ascii="Cambria Math" w:hAnsi="Cambria Math"/>
                                    <w:sz w:val="24"/>
                                  </w:rPr>
                                  <m:t>i</m:t>
                                </m:r>
                              </m:sub>
                            </m:sSub>
                          </m:num>
                          <m:den>
                            <m:r>
                              <w:rPr>
                                <w:rFonts w:ascii="Cambria Math" w:hAnsi="Cambria Math"/>
                                <w:sz w:val="24"/>
                              </w:rPr>
                              <m:t>10000</m:t>
                            </m:r>
                          </m:den>
                        </m:f>
                      </m:e>
                    </m:nary>
                    <m:r>
                      <w:rPr>
                        <w:rFonts w:ascii="Cambria Math" w:hAnsi="Cambria Math"/>
                        <w:sz w:val="24"/>
                      </w:rPr>
                      <m:t>)</m:t>
                    </m:r>
                  </m:e>
                </m:d>
              </m:e>
              <m:sup>
                <m:f>
                  <m:fPr>
                    <m:ctrlPr>
                      <w:rPr>
                        <w:rFonts w:ascii="Cambria Math" w:hAnsi="Cambria Math"/>
                        <w:i/>
                        <w:sz w:val="24"/>
                        <w:szCs w:val="24"/>
                      </w:rPr>
                    </m:ctrlPr>
                  </m:fPr>
                  <m:num>
                    <m:r>
                      <w:rPr>
                        <w:rFonts w:ascii="Cambria Math" w:hAnsi="Cambria Math"/>
                        <w:sz w:val="24"/>
                      </w:rPr>
                      <m:t>365</m:t>
                    </m:r>
                  </m:num>
                  <m:den>
                    <m:r>
                      <w:rPr>
                        <w:rFonts w:ascii="Cambria Math" w:hAnsi="Cambria Math"/>
                        <w:sz w:val="24"/>
                      </w:rPr>
                      <m:t>N</m:t>
                    </m:r>
                  </m:den>
                </m:f>
              </m:sup>
            </m:sSup>
            <m:r>
              <w:rPr>
                <w:rFonts w:ascii="微软雅黑" w:eastAsia="微软雅黑" w:hAnsi="微软雅黑" w:cs="微软雅黑" w:hint="eastAsia"/>
                <w:sz w:val="24"/>
              </w:rPr>
              <m:t>-</m:t>
            </m:r>
            <m:r>
              <w:rPr>
                <w:rFonts w:ascii="Cambria Math" w:hAnsi="Cambria Math"/>
                <w:sz w:val="24"/>
              </w:rPr>
              <m:t>1</m:t>
            </m:r>
          </m:e>
        </m:d>
        <m:r>
          <w:rPr>
            <w:rFonts w:ascii="Cambria Math" w:hAnsi="Cambria Math"/>
            <w:sz w:val="24"/>
          </w:rPr>
          <m:t>*100%</m:t>
        </m:r>
      </m:oMath>
    </w:p>
    <w:p w:rsidR="006C14C4" w:rsidP="006C14C4">
      <w:pPr>
        <w:rPr>
          <w:rFonts w:ascii="宋体"/>
          <w:szCs w:val="21"/>
        </w:rPr>
      </w:pPr>
      <w:r>
        <w:rPr>
          <w:rFonts w:ascii="宋体" w:hint="eastAsia"/>
          <w:szCs w:val="21"/>
        </w:rPr>
        <w:t>i=1,2,...,N，Π代表连乘，</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hint="eastAsia"/>
                <w:szCs w:val="21"/>
              </w:rPr>
              <m:t>i</m:t>
            </m:r>
          </m:sub>
        </m:sSub>
      </m:oMath>
      <w:r>
        <w:rPr>
          <w:rFonts w:ascii="宋体" w:hint="eastAsia"/>
          <w:szCs w:val="21"/>
        </w:rPr>
        <w:t>指该时间区间每个自然日的每万份收益。</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szCs w:val="21"/>
              </w:rPr>
              <m:t>1</m:t>
            </m:r>
          </m:sub>
        </m:sSub>
      </m:oMath>
      <w:r>
        <w:rPr>
          <w:rFonts w:ascii="宋体" w:hint="eastAsia"/>
          <w:szCs w:val="21"/>
        </w:rPr>
        <w:t>指N月前最后一个自然日的每万份收益，</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szCs w:val="21"/>
              </w:rPr>
              <m:t>n</m:t>
            </m:r>
          </m:sub>
        </m:sSub>
      </m:oMath>
      <w:r>
        <w:rPr>
          <w:rFonts w:ascii="宋体" w:hint="eastAsia"/>
          <w:szCs w:val="21"/>
        </w:rPr>
        <w:t>指最近一个自然日的每万份收益。N=最近一个自然日-N月前最后一个自然日+1；每万份收益=当日理财产品已实现收益/当日理财产品总份额*10000。</w:t>
      </w:r>
    </w:p>
    <w:p w:rsidR="006C14C4" w:rsidP="006C14C4">
      <w:pPr>
        <w:pStyle w:val="ccb"/>
        <w:ind w:firstLine="0" w:firstLineChars="0"/>
        <w:jc w:val="left"/>
        <w:rPr>
          <w:rFonts w:ascii="宋体" w:eastAsia="宋体"/>
          <w:color w:val="auto"/>
          <w:sz w:val="21"/>
          <w:szCs w:val="21"/>
        </w:rPr>
      </w:pPr>
      <w:r>
        <w:rPr>
          <w:rFonts w:ascii="宋体" w:eastAsia="宋体" w:hint="eastAsia"/>
          <w:color w:val="auto"/>
          <w:sz w:val="21"/>
          <w:szCs w:val="21"/>
        </w:rPr>
        <w:t>近N个会计年度年化收益率（现金产品）</w:t>
      </w:r>
    </w:p>
    <w:p w:rsidR="006C14C4" w:rsidRPr="00D94C60" w:rsidP="00D94C60">
      <w:pPr>
        <w:spacing w:line="360" w:lineRule="auto"/>
        <w:rPr>
          <w:rFonts w:ascii="宋体" w:hAnsi="宋体"/>
          <w:sz w:val="24"/>
        </w:rPr>
      </w:pPr>
      <w:r>
        <w:rPr>
          <w:rFonts w:ascii="宋体" w:hAnsi="宋体" w:hint="eastAsia"/>
          <w:sz w:val="24"/>
        </w:rPr>
        <w:t>=</w:t>
      </w:r>
      <m:oMath>
        <m:d>
          <m:dPr>
            <m:begChr m:val="{"/>
            <m:endChr m:val="}"/>
            <m:ctrlPr>
              <w:rPr>
                <w:rFonts w:ascii="Cambria Math" w:hAnsi="Cambria Math"/>
                <w:i/>
                <w:sz w:val="24"/>
                <w:szCs w:val="24"/>
              </w:rPr>
            </m:ctrlPr>
          </m:dPr>
          <m:e>
            <m:sSup>
              <m:sSupPr>
                <m:ctrlPr>
                  <w:rPr>
                    <w:rFonts w:ascii="Cambria Math" w:hAnsi="Cambria Math"/>
                    <w:i/>
                    <w:sz w:val="24"/>
                    <w:szCs w:val="24"/>
                  </w:rPr>
                </m:ctrlPr>
              </m:sSupPr>
              <m:e>
                <m:d>
                  <m:dPr>
                    <m:begChr m:val="["/>
                    <m:endChr m:val="]"/>
                    <m:ctrlPr>
                      <w:rPr>
                        <w:rFonts w:ascii="Cambria Math" w:hAnsi="Cambria Math"/>
                        <w:i/>
                        <w:sz w:val="24"/>
                        <w:szCs w:val="24"/>
                      </w:rPr>
                    </m:ctrlPr>
                  </m:dPr>
                  <m:e>
                    <m:nary>
                      <m:naryPr>
                        <m:chr m:val="∏"/>
                        <m:limLoc m:val="undOvr"/>
                        <m:ctrlPr>
                          <w:rPr>
                            <w:rFonts w:ascii="Cambria Math" w:hAnsi="Cambria Math"/>
                            <w:i/>
                            <w:sz w:val="24"/>
                            <w:szCs w:val="24"/>
                          </w:rPr>
                        </m:ctrlPr>
                      </m:naryPr>
                      <m:sub>
                        <m:r>
                          <w:rPr>
                            <w:rFonts w:ascii="Cambria Math" w:hAnsi="Cambria Math"/>
                            <w:sz w:val="24"/>
                          </w:rPr>
                          <m:t>i=1</m:t>
                        </m:r>
                      </m:sub>
                      <m:sup>
                        <m:r>
                          <w:rPr>
                            <w:rFonts w:ascii="Cambria Math" w:hAnsi="Cambria Math"/>
                            <w:sz w:val="24"/>
                          </w:rPr>
                          <m:t>N</m:t>
                        </m:r>
                      </m:sup>
                      <m:e>
                        <m:r>
                          <w:rPr>
                            <w:rFonts w:ascii="Cambria Math" w:hAnsi="Cambria Math"/>
                            <w:sz w:val="24"/>
                          </w:rPr>
                          <m:t>(1+</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rPr>
                                  <m:t>R</m:t>
                                </m:r>
                              </m:e>
                              <m:sub>
                                <m:r>
                                  <w:rPr>
                                    <w:rFonts w:ascii="Cambria Math" w:hAnsi="Cambria Math"/>
                                    <w:sz w:val="24"/>
                                  </w:rPr>
                                  <m:t>i</m:t>
                                </m:r>
                              </m:sub>
                            </m:sSub>
                          </m:num>
                          <m:den>
                            <m:r>
                              <w:rPr>
                                <w:rFonts w:ascii="Cambria Math" w:hAnsi="Cambria Math"/>
                                <w:sz w:val="24"/>
                              </w:rPr>
                              <m:t>10000</m:t>
                            </m:r>
                          </m:den>
                        </m:f>
                      </m:e>
                    </m:nary>
                    <m:r>
                      <w:rPr>
                        <w:rFonts w:ascii="Cambria Math" w:hAnsi="Cambria Math"/>
                        <w:sz w:val="24"/>
                      </w:rPr>
                      <m:t>)</m:t>
                    </m:r>
                  </m:e>
                </m:d>
              </m:e>
              <m:sup>
                <m:f>
                  <m:fPr>
                    <m:ctrlPr>
                      <w:rPr>
                        <w:rFonts w:ascii="Cambria Math" w:hAnsi="Cambria Math"/>
                        <w:i/>
                        <w:sz w:val="24"/>
                        <w:szCs w:val="24"/>
                      </w:rPr>
                    </m:ctrlPr>
                  </m:fPr>
                  <m:num>
                    <m:r>
                      <w:rPr>
                        <w:rFonts w:ascii="Cambria Math" w:hAnsi="Cambria Math"/>
                        <w:sz w:val="24"/>
                      </w:rPr>
                      <m:t>365</m:t>
                    </m:r>
                  </m:num>
                  <m:den>
                    <m:r>
                      <w:rPr>
                        <w:rFonts w:ascii="Cambria Math" w:hAnsi="Cambria Math"/>
                        <w:sz w:val="24"/>
                      </w:rPr>
                      <m:t>N</m:t>
                    </m:r>
                  </m:den>
                </m:f>
              </m:sup>
            </m:sSup>
            <m:r>
              <w:rPr>
                <w:rFonts w:ascii="微软雅黑" w:eastAsia="微软雅黑" w:hAnsi="微软雅黑" w:cs="微软雅黑" w:hint="eastAsia"/>
                <w:sz w:val="24"/>
              </w:rPr>
              <m:t>-</m:t>
            </m:r>
            <m:r>
              <w:rPr>
                <w:rFonts w:ascii="Cambria Math" w:hAnsi="Cambria Math"/>
                <w:sz w:val="24"/>
              </w:rPr>
              <m:t>1</m:t>
            </m:r>
          </m:e>
        </m:d>
        <m:r>
          <w:rPr>
            <w:rFonts w:ascii="Cambria Math" w:hAnsi="Cambria Math"/>
            <w:sz w:val="24"/>
          </w:rPr>
          <m:t>*100%</m:t>
        </m:r>
      </m:oMath>
    </w:p>
    <w:p w:rsidR="006C14C4" w:rsidP="006C14C4">
      <w:pPr>
        <w:rPr>
          <w:rFonts w:ascii="宋体"/>
          <w:szCs w:val="21"/>
        </w:rPr>
      </w:pPr>
      <w:r>
        <w:rPr>
          <w:rFonts w:ascii="宋体" w:hint="eastAsia"/>
          <w:szCs w:val="21"/>
        </w:rPr>
        <w:t>i=1,2,...,N，Π代表连乘，N为XX年1月1日到XX年12月31日的自然天数，</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szCs w:val="21"/>
              </w:rPr>
              <m:t>i</m:t>
            </m:r>
          </m:sub>
        </m:sSub>
      </m:oMath>
      <w:r>
        <w:rPr>
          <w:rFonts w:ascii="宋体" w:hint="eastAsia"/>
          <w:szCs w:val="21"/>
        </w:rPr>
        <w:t>为XX年第i个自然日的每万份收益；每万份收益=当日理财产品已实现收益/当日理财产品总份额*10000。</w:t>
      </w:r>
    </w:p>
    <w:p w:rsidR="006C14C4" w:rsidP="006C14C4">
      <w:pPr>
        <w:pStyle w:val="ccb"/>
        <w:ind w:firstLine="0" w:firstLineChars="0"/>
        <w:jc w:val="left"/>
        <w:rPr>
          <w:rFonts w:ascii="宋体" w:eastAsia="宋体"/>
          <w:color w:val="auto"/>
          <w:sz w:val="21"/>
          <w:szCs w:val="21"/>
        </w:rPr>
      </w:pPr>
      <w:r>
        <w:rPr>
          <w:rFonts w:ascii="宋体" w:eastAsia="宋体" w:hint="eastAsia"/>
          <w:color w:val="auto"/>
          <w:sz w:val="21"/>
          <w:szCs w:val="21"/>
        </w:rPr>
        <w:t>成立至今年化收益率（现金产品）</w:t>
      </w:r>
    </w:p>
    <w:p w:rsidR="006C14C4" w:rsidRPr="00D94C60" w:rsidP="00D94C60">
      <w:pPr>
        <w:spacing w:line="360" w:lineRule="auto"/>
        <w:rPr>
          <w:rFonts w:ascii="宋体" w:hAnsi="宋体"/>
          <w:sz w:val="24"/>
        </w:rPr>
      </w:pPr>
      <w:r>
        <w:rPr>
          <w:rFonts w:ascii="宋体" w:hAnsi="宋体" w:hint="eastAsia"/>
          <w:sz w:val="24"/>
        </w:rPr>
        <w:t>=</w:t>
      </w:r>
      <m:oMath>
        <m:d>
          <m:dPr>
            <m:begChr m:val="{"/>
            <m:endChr m:val="}"/>
            <m:ctrlPr>
              <w:rPr>
                <w:rFonts w:ascii="Cambria Math" w:hAnsi="Cambria Math"/>
                <w:i/>
                <w:sz w:val="24"/>
                <w:szCs w:val="24"/>
              </w:rPr>
            </m:ctrlPr>
          </m:dPr>
          <m:e>
            <m:sSup>
              <m:sSupPr>
                <m:ctrlPr>
                  <w:rPr>
                    <w:rFonts w:ascii="Cambria Math" w:hAnsi="Cambria Math"/>
                    <w:i/>
                    <w:sz w:val="24"/>
                    <w:szCs w:val="24"/>
                  </w:rPr>
                </m:ctrlPr>
              </m:sSupPr>
              <m:e>
                <m:d>
                  <m:dPr>
                    <m:begChr m:val="["/>
                    <m:endChr m:val="]"/>
                    <m:ctrlPr>
                      <w:rPr>
                        <w:rFonts w:ascii="Cambria Math" w:hAnsi="Cambria Math"/>
                        <w:i/>
                        <w:sz w:val="24"/>
                        <w:szCs w:val="24"/>
                      </w:rPr>
                    </m:ctrlPr>
                  </m:dPr>
                  <m:e>
                    <m:nary>
                      <m:naryPr>
                        <m:chr m:val="∏"/>
                        <m:limLoc m:val="undOvr"/>
                        <m:ctrlPr>
                          <w:rPr>
                            <w:rFonts w:ascii="Cambria Math" w:hAnsi="Cambria Math"/>
                            <w:i/>
                            <w:sz w:val="24"/>
                            <w:szCs w:val="24"/>
                          </w:rPr>
                        </m:ctrlPr>
                      </m:naryPr>
                      <m:sub>
                        <m:r>
                          <w:rPr>
                            <w:rFonts w:ascii="Cambria Math" w:hAnsi="Cambria Math"/>
                            <w:sz w:val="24"/>
                          </w:rPr>
                          <m:t>i=1</m:t>
                        </m:r>
                      </m:sub>
                      <m:sup>
                        <m:r>
                          <w:rPr>
                            <w:rFonts w:ascii="Cambria Math" w:hAnsi="Cambria Math"/>
                            <w:sz w:val="24"/>
                          </w:rPr>
                          <m:t>N</m:t>
                        </m:r>
                      </m:sup>
                      <m:e>
                        <m:r>
                          <w:rPr>
                            <w:rFonts w:ascii="Cambria Math" w:hAnsi="Cambria Math"/>
                            <w:sz w:val="24"/>
                          </w:rPr>
                          <m:t>(1+</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rPr>
                                  <m:t>R</m:t>
                                </m:r>
                              </m:e>
                              <m:sub>
                                <m:r>
                                  <w:rPr>
                                    <w:rFonts w:ascii="Cambria Math" w:hAnsi="Cambria Math"/>
                                    <w:sz w:val="24"/>
                                  </w:rPr>
                                  <m:t>i</m:t>
                                </m:r>
                              </m:sub>
                            </m:sSub>
                          </m:num>
                          <m:den>
                            <m:r>
                              <w:rPr>
                                <w:rFonts w:ascii="Cambria Math" w:hAnsi="Cambria Math"/>
                                <w:sz w:val="24"/>
                              </w:rPr>
                              <m:t>10000</m:t>
                            </m:r>
                          </m:den>
                        </m:f>
                      </m:e>
                    </m:nary>
                    <m:r>
                      <w:rPr>
                        <w:rFonts w:ascii="Cambria Math" w:hAnsi="Cambria Math"/>
                        <w:sz w:val="24"/>
                      </w:rPr>
                      <m:t>)</m:t>
                    </m:r>
                  </m:e>
                </m:d>
              </m:e>
              <m:sup>
                <m:f>
                  <m:fPr>
                    <m:ctrlPr>
                      <w:rPr>
                        <w:rFonts w:ascii="Cambria Math" w:hAnsi="Cambria Math"/>
                        <w:i/>
                        <w:sz w:val="24"/>
                        <w:szCs w:val="24"/>
                      </w:rPr>
                    </m:ctrlPr>
                  </m:fPr>
                  <m:num>
                    <m:r>
                      <w:rPr>
                        <w:rFonts w:ascii="Cambria Math" w:hAnsi="Cambria Math"/>
                        <w:sz w:val="24"/>
                      </w:rPr>
                      <m:t>365</m:t>
                    </m:r>
                  </m:num>
                  <m:den>
                    <m:r>
                      <w:rPr>
                        <w:rFonts w:ascii="Cambria Math" w:hAnsi="Cambria Math"/>
                        <w:sz w:val="24"/>
                      </w:rPr>
                      <m:t>N</m:t>
                    </m:r>
                  </m:den>
                </m:f>
              </m:sup>
            </m:sSup>
            <m:r>
              <w:rPr>
                <w:rFonts w:ascii="微软雅黑" w:eastAsia="微软雅黑" w:hAnsi="微软雅黑" w:cs="微软雅黑" w:hint="eastAsia"/>
                <w:sz w:val="24"/>
              </w:rPr>
              <m:t>-</m:t>
            </m:r>
            <m:r>
              <w:rPr>
                <w:rFonts w:ascii="Cambria Math" w:hAnsi="Cambria Math"/>
                <w:sz w:val="24"/>
              </w:rPr>
              <m:t>1</m:t>
            </m:r>
          </m:e>
        </m:d>
        <m:r>
          <w:rPr>
            <w:rFonts w:ascii="Cambria Math" w:hAnsi="Cambria Math"/>
            <w:sz w:val="24"/>
          </w:rPr>
          <m:t>*100%</m:t>
        </m:r>
      </m:oMath>
    </w:p>
    <w:p w:rsidR="001119BA" w:rsidRPr="00697A65" w:rsidP="006C14C4">
      <w:pPr>
        <w:spacing w:line="360" w:lineRule="auto"/>
        <w:rPr>
          <w:rFonts w:ascii="宋体" w:hAnsi="宋体"/>
          <w:sz w:val="24"/>
        </w:rPr>
      </w:pPr>
      <w:r>
        <w:rPr>
          <w:rFonts w:ascii="宋体" w:hint="eastAsia"/>
          <w:szCs w:val="21"/>
        </w:rPr>
        <w:t>i=1,2,...,N，Π代表连乘，</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hint="eastAsia"/>
                <w:szCs w:val="21"/>
              </w:rPr>
              <m:t>i</m:t>
            </m:r>
          </m:sub>
        </m:sSub>
      </m:oMath>
      <w:r>
        <w:rPr>
          <w:rFonts w:ascii="宋体" w:hint="eastAsia"/>
          <w:szCs w:val="21"/>
        </w:rPr>
        <w:t>指成立以来至最近一个自然日区间每个自然日的每万份收益。</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szCs w:val="21"/>
              </w:rPr>
              <m:t>1</m:t>
            </m:r>
          </m:sub>
        </m:sSub>
      </m:oMath>
      <w:r>
        <w:rPr>
          <w:rFonts w:ascii="宋体" w:hint="eastAsia"/>
          <w:szCs w:val="21"/>
        </w:rPr>
        <w:t>指成立日当日的每万份收益，</w:t>
      </w:r>
      <m:oMath>
        <m:sSub>
          <m:sSubPr>
            <m:ctrlPr>
              <w:rPr>
                <w:rFonts w:ascii="Cambria Math" w:hAnsi="Cambria Math" w:hint="eastAsia"/>
                <w:i/>
                <w:szCs w:val="21"/>
              </w:rPr>
            </m:ctrlPr>
          </m:sSubPr>
          <m:e>
            <m:r>
              <w:rPr>
                <w:rFonts w:ascii="Cambria Math" w:hAnsi="Cambria Math" w:hint="eastAsia"/>
                <w:szCs w:val="21"/>
              </w:rPr>
              <m:t>R</m:t>
            </m:r>
          </m:e>
          <m:sub>
            <m:r>
              <w:rPr>
                <w:rFonts w:ascii="Cambria Math" w:hAnsi="Cambria Math"/>
                <w:szCs w:val="21"/>
              </w:rPr>
              <m:t>n</m:t>
            </m:r>
          </m:sub>
        </m:sSub>
      </m:oMath>
      <w:r>
        <w:rPr>
          <w:rFonts w:ascii="宋体" w:hint="eastAsia"/>
          <w:szCs w:val="21"/>
        </w:rPr>
        <w:t>指最近一个自然日的每万份收益。N=最近一个自然日-成立日期+1；每万份收益=当日理财产品已实现收益/当日理财产品总份额*10000。</w:t>
      </w:r>
    </w:p>
    <w:p w:rsidR="00380479" w:rsidRPr="00763A00" w:rsidP="00E67D89">
      <w:pPr>
        <w:pStyle w:val="Heading1"/>
        <w:spacing w:line="360" w:lineRule="auto"/>
        <w:jc w:val="center"/>
        <w:rPr>
          <w:rFonts w:ascii="宋体" w:hAnsi="宋体"/>
          <w:sz w:val="24"/>
          <w:szCs w:val="24"/>
          <w:shd w:val="clear" w:color="auto" w:fill="FFFFFF"/>
        </w:rPr>
      </w:pPr>
      <w:bookmarkStart w:id="10" w:name="_Toc256000008"/>
      <w:r w:rsidRPr="00763A00">
        <w:rPr>
          <w:rFonts w:ascii="宋体" w:hAnsi="宋体" w:hint="eastAsia"/>
          <w:sz w:val="24"/>
          <w:szCs w:val="24"/>
          <w:shd w:val="clear" w:color="auto" w:fill="FFFFFF"/>
        </w:rPr>
        <w:t>§4 管理人报告</w:t>
      </w:r>
      <w:bookmarkEnd w:id="10"/>
    </w:p>
    <w:p w:rsidR="00380479" w:rsidRPr="00763A00" w:rsidP="00763A00">
      <w:pPr>
        <w:pStyle w:val="Heading2"/>
        <w:rPr>
          <w:sz w:val="24"/>
          <w:szCs w:val="24"/>
          <w:shd w:val="clear" w:color="auto" w:fill="FFFFFF"/>
        </w:rPr>
      </w:pPr>
      <w:bookmarkStart w:id="11" w:name="_Toc256000009"/>
      <w:r w:rsidRPr="00763A00">
        <w:rPr>
          <w:rFonts w:hint="eastAsia"/>
          <w:sz w:val="24"/>
          <w:szCs w:val="24"/>
          <w:shd w:val="clear" w:color="auto" w:fill="FFFFFF"/>
        </w:rPr>
        <w:t>4.1 管理人对报告期内理财产品的投资策略说明</w:t>
      </w:r>
      <w:bookmarkEnd w:id="11"/>
    </w:p>
    <w:p w:rsidR="00380479" w:rsidRPr="00763A00" w:rsidP="003F7FB0">
      <w:pPr>
        <w:pStyle w:val="Heading3"/>
        <w:rPr>
          <w:sz w:val="24"/>
          <w:szCs w:val="24"/>
          <w:shd w:val="clear" w:color="auto" w:fill="FFFFFF"/>
        </w:rPr>
      </w:pPr>
      <w:r w:rsidRPr="00763A00">
        <w:rPr>
          <w:rFonts w:hint="eastAsia"/>
          <w:sz w:val="24"/>
          <w:szCs w:val="24"/>
          <w:shd w:val="clear" w:color="auto" w:fill="FFFFFF"/>
        </w:rPr>
        <w:t>4.1.1 报告期内理财产品投资策略和运作分析</w:t>
      </w:r>
    </w:p>
    <w:p w:rsidR="00CF6B15" w:rsidRPr="003E7AF6" w:rsidP="00255E02">
      <w:pPr>
        <w:ind w:firstLine="420" w:firstLineChars="200"/>
        <w:rPr>
          <w:rFonts w:ascii="宋体" w:hAnsi="宋体"/>
          <w:sz w:val="24"/>
          <w:szCs w:val="24"/>
          <w:shd w:val="clear" w:color="auto" w:fill="FFFFFF"/>
        </w:rPr>
      </w:pPr>
      <w:bookmarkStart w:id="12" w:name="运作分析"/>
      <w:r w:rsidRPr="003E7AF6">
        <w:rPr>
          <w:rFonts w:ascii="宋体" w:hAnsi="宋体"/>
          <w:sz w:val="24"/>
          <w:szCs w:val="24"/>
          <w:shd w:val="clear" w:color="auto" w:fill="FFFFFF"/>
        </w:rPr>
        <w:t>2026年一季度，债券市场呈震荡分化格局，收益率曲线陡峭化。短端收益率受资金面宽松及同业活期存款自律下调预期影响，下行明显；长端则在权益市场走强、政府债供给担忧、美伊局势带动通胀预期升温等因素叠加扰动下呈震荡格局。具体而言，1月债市呈先抑后扬走势，月初受权益市场热度上升和利率债供给预期扰动，收益率承压调整；中下旬，央行结构性降息政策落地，资金面平稳宽松，债市情绪好转，收益率有所回落。2月，在央行呵护跨节流动性、权益市场压制减弱等因素叠加共振下，债市相对平稳，整体震荡偏强。3月，债市在多空博弈中整体呈震荡加剧、短强长弱格局，曲线陡峭化态势加剧，资金面宽松托底短端，地缘冲突带动通胀预期升温压制长端。</w:t>
      </w:r>
    </w:p>
    <w:p w:rsidR="00CF6B15" w:rsidRPr="003E7AF6" w:rsidP="00255E02">
      <w:pPr>
        <w:ind w:firstLine="420" w:firstLineChars="200"/>
        <w:rPr>
          <w:rFonts w:ascii="宋体" w:hAnsi="宋体"/>
          <w:sz w:val="24"/>
          <w:szCs w:val="24"/>
          <w:shd w:val="clear" w:color="auto" w:fill="FFFFFF"/>
        </w:rPr>
      </w:pPr>
      <w:r w:rsidRPr="003E7AF6">
        <w:rPr>
          <w:rFonts w:ascii="宋体" w:hAnsi="宋体"/>
          <w:sz w:val="24"/>
          <w:szCs w:val="24"/>
          <w:shd w:val="clear" w:color="auto" w:fill="FFFFFF"/>
        </w:rPr>
        <w:t>本产品为现金管理类产品，在报告期内稳健运作，根据产品规模波动特点合理安排了同业存单、活期存款、逆回购和高等级信用债等资产的配置比例，并把握春节前特殊时点和季末时点的阶段性配置机会，运用杠杆和久期策略增厚产品收益。</w:t>
      </w:r>
      <w:bookmarkEnd w:id="12"/>
    </w:p>
    <w:p w:rsidR="00255E02" w:rsidRPr="003E7AF6" w:rsidP="00255E02">
      <w:pPr>
        <w:ind w:firstLine="420" w:firstLineChars="200"/>
        <w:rPr>
          <w:rFonts w:ascii="宋体" w:hAnsi="宋体"/>
          <w:sz w:val="24"/>
          <w:szCs w:val="24"/>
          <w:shd w:val="clear" w:color="auto" w:fill="FFFFFF"/>
        </w:rPr>
      </w:pPr>
      <w:r>
        <w:rPr>
          <w:rFonts w:ascii="宋体" w:eastAsia="宋体" w:hAnsi="宋体" w:cs="宋体"/>
          <w:b w:val="0"/>
          <w:i w:val="0"/>
          <w:color w:val="000000"/>
          <w:position w:val="-1"/>
          <w:sz w:val="24"/>
          <w:u w:val="none"/>
        </w:rPr>
        <w:t xml:space="preserve"> </w:t>
      </w:r>
    </w:p>
    <w:p w:rsidR="00091339" w:rsidRPr="00763A00" w:rsidP="00091339">
      <w:pPr>
        <w:pStyle w:val="Heading3"/>
        <w:rPr>
          <w:sz w:val="24"/>
          <w:szCs w:val="24"/>
          <w:shd w:val="clear" w:color="auto" w:fill="FFFFFF"/>
        </w:rPr>
      </w:pPr>
      <w:r w:rsidRPr="00763A00">
        <w:rPr>
          <w:rFonts w:hint="eastAsia"/>
          <w:sz w:val="24"/>
          <w:szCs w:val="24"/>
          <w:shd w:val="clear" w:color="auto" w:fill="FFFFFF"/>
        </w:rPr>
        <w:t>4.1.</w:t>
      </w:r>
      <w:r w:rsidRPr="00763A00">
        <w:rPr>
          <w:sz w:val="24"/>
          <w:szCs w:val="24"/>
          <w:shd w:val="clear" w:color="auto" w:fill="FFFFFF"/>
        </w:rPr>
        <w:t>2</w:t>
      </w:r>
      <w:r w:rsidRPr="00763A00">
        <w:rPr>
          <w:rFonts w:hint="eastAsia"/>
          <w:sz w:val="24"/>
          <w:szCs w:val="24"/>
          <w:shd w:val="clear" w:color="auto" w:fill="FFFFFF"/>
        </w:rPr>
        <w:t xml:space="preserve"> 报告期内理财产品流动性风险分析</w:t>
      </w:r>
    </w:p>
    <w:p w:rsidR="00091339" w:rsidRPr="00091339" w:rsidP="00091339">
      <w:pPr>
        <w:ind w:firstLine="420" w:firstLineChars="200"/>
        <w:rPr>
          <w:sz w:val="24"/>
          <w:shd w:val="clear" w:color="auto" w:fill="FFFFFF"/>
        </w:rPr>
      </w:pPr>
      <w:r w:rsidRPr="00091339">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091339" w:rsidRPr="00763A00" w:rsidP="00763A00">
      <w:pPr>
        <w:ind w:firstLine="420" w:firstLineChars="200"/>
        <w:rPr>
          <w:sz w:val="24"/>
          <w:shd w:val="clear" w:color="auto" w:fill="FFFFFF"/>
        </w:rPr>
      </w:pPr>
      <w:r w:rsidRPr="00091339">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380479" w:rsidRPr="00763A00" w:rsidP="00763A00">
      <w:pPr>
        <w:pStyle w:val="Heading3"/>
        <w:rPr>
          <w:sz w:val="24"/>
          <w:szCs w:val="24"/>
          <w:shd w:val="clear" w:color="auto" w:fill="FFFFFF"/>
        </w:rPr>
      </w:pPr>
      <w:r w:rsidRPr="00763A00">
        <w:rPr>
          <w:rFonts w:hint="eastAsia"/>
          <w:sz w:val="24"/>
          <w:szCs w:val="24"/>
          <w:shd w:val="clear" w:color="auto" w:fill="FFFFFF"/>
        </w:rPr>
        <w:t>4.1.</w:t>
      </w:r>
      <w:r w:rsidRPr="00763A00">
        <w:rPr>
          <w:sz w:val="24"/>
          <w:szCs w:val="24"/>
          <w:shd w:val="clear" w:color="auto" w:fill="FFFFFF"/>
        </w:rPr>
        <w:t>3</w:t>
      </w:r>
      <w:r w:rsidRPr="00763A00">
        <w:rPr>
          <w:rFonts w:hint="eastAsia"/>
          <w:sz w:val="24"/>
          <w:szCs w:val="24"/>
          <w:shd w:val="clear" w:color="auto" w:fill="FFFFFF"/>
        </w:rPr>
        <w:t xml:space="preserve"> 管理人对未来的简要展望</w:t>
      </w:r>
    </w:p>
    <w:p w:rsidR="00CF6B15" w:rsidP="00255E02">
      <w:pPr>
        <w:ind w:firstLine="420" w:firstLineChars="200"/>
        <w:rPr>
          <w:rFonts w:ascii="宋体" w:hAnsi="宋体"/>
          <w:sz w:val="24"/>
          <w:szCs w:val="24"/>
          <w:shd w:val="clear" w:color="auto" w:fill="FFFFFF"/>
        </w:rPr>
      </w:pPr>
      <w:bookmarkStart w:id="13" w:name="简要展望"/>
      <w:r>
        <w:rPr>
          <w:rFonts w:ascii="宋体" w:hAnsi="宋体"/>
          <w:sz w:val="24"/>
          <w:szCs w:val="24"/>
          <w:shd w:val="clear" w:color="auto" w:fill="FFFFFF"/>
        </w:rPr>
        <w:t>展望2026年二季度，债市面临内外多空因素交织，外有地缘扰动、内有供给压力，市场波动率或有所走高。受益于央行宽松意图未改，预计短端具备较强确定性。长端利率则可能受地缘政治不确定性影响，波动率或有所放大。后续需重点关注地缘政治演绎、央行货币政策变化、通胀预期上升对债券市场的影响。</w:t>
      </w:r>
      <w:bookmarkEnd w:id="13"/>
    </w:p>
    <w:p w:rsidR="00380479" w:rsidRPr="00763A00" w:rsidP="00763A00">
      <w:pPr>
        <w:pStyle w:val="Heading2"/>
        <w:rPr>
          <w:sz w:val="24"/>
          <w:szCs w:val="24"/>
          <w:shd w:val="clear" w:color="auto" w:fill="FFFFFF"/>
        </w:rPr>
      </w:pPr>
      <w:bookmarkStart w:id="14" w:name="_Toc256000010"/>
      <w:r w:rsidRPr="00763A00">
        <w:rPr>
          <w:rFonts w:hint="eastAsia"/>
          <w:sz w:val="24"/>
          <w:szCs w:val="24"/>
          <w:shd w:val="clear" w:color="auto" w:fill="FFFFFF"/>
        </w:rPr>
        <w:t xml:space="preserve">4.2 </w:t>
      </w:r>
      <w:r w:rsidRPr="00763A00" w:rsidR="001A47A8">
        <w:rPr>
          <w:rFonts w:hint="eastAsia"/>
          <w:sz w:val="24"/>
          <w:szCs w:val="24"/>
          <w:shd w:val="clear" w:color="auto" w:fill="FFFFFF"/>
        </w:rPr>
        <w:t>理财产品报告期内关联</w:t>
      </w:r>
      <w:r w:rsidRPr="00763A00">
        <w:rPr>
          <w:rFonts w:hint="eastAsia"/>
          <w:sz w:val="24"/>
          <w:szCs w:val="24"/>
          <w:shd w:val="clear" w:color="auto" w:fill="FFFFFF"/>
        </w:rPr>
        <w:t>交易</w:t>
      </w:r>
      <w:r w:rsidRPr="00763A00" w:rsidR="00657F74">
        <w:rPr>
          <w:rFonts w:hint="eastAsia"/>
          <w:sz w:val="24"/>
          <w:szCs w:val="24"/>
          <w:shd w:val="clear" w:color="auto" w:fill="FFFFFF"/>
        </w:rPr>
        <w:t>发生</w:t>
      </w:r>
      <w:r w:rsidRPr="00763A00">
        <w:rPr>
          <w:rFonts w:hint="eastAsia"/>
          <w:sz w:val="24"/>
          <w:szCs w:val="24"/>
          <w:shd w:val="clear" w:color="auto" w:fill="FFFFFF"/>
        </w:rPr>
        <w:t>情况</w:t>
      </w:r>
      <w:bookmarkEnd w:id="14"/>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1本产品投资于关联方发行的证券，投资金额总计</w:t>
      </w:r>
      <w:r>
        <w:rPr>
          <w:rFonts w:ascii="宋体" w:eastAsia="宋体" w:hAnsi="宋体" w:cs="宋体"/>
          <w:b w:val="0"/>
          <w:color w:val="000000"/>
          <w:sz w:val="24"/>
        </w:rPr>
        <w:t>0.00</w:t>
      </w:r>
      <w:r>
        <w:rPr>
          <w:rFonts w:ascii="宋体" w:hAnsi="宋体" w:hint="eastAsia"/>
          <w:sz w:val="24"/>
          <w:szCs w:val="24"/>
          <w:lang w:val="zh-CN"/>
        </w:rPr>
        <w:t>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2本产品投资于关联方承销的证券，投资金额总计</w:t>
      </w:r>
      <w:r>
        <w:rPr>
          <w:rFonts w:ascii="宋体" w:eastAsia="宋体" w:hAnsi="宋体" w:cs="宋体"/>
          <w:b w:val="0"/>
          <w:color w:val="000000"/>
          <w:sz w:val="24"/>
        </w:rPr>
        <w:t>5,000,000.00</w:t>
      </w:r>
      <w:r>
        <w:rPr>
          <w:rFonts w:ascii="宋体" w:hAnsi="宋体" w:hint="eastAsia"/>
          <w:sz w:val="24"/>
          <w:szCs w:val="24"/>
          <w:lang w:val="zh-CN"/>
        </w:rPr>
        <w:t>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sz w:val="24"/>
          <w:szCs w:val="24"/>
          <w:lang w:val="zh-CN"/>
        </w:rPr>
        <w:t>3</w:t>
      </w:r>
      <w:r>
        <w:rPr>
          <w:rFonts w:ascii="宋体" w:hAnsi="宋体" w:hint="eastAsia"/>
          <w:sz w:val="24"/>
          <w:szCs w:val="24"/>
          <w:lang w:val="zh-CN"/>
        </w:rPr>
        <w:t>本产品与关联方发生的服务类关联交易</w:t>
      </w:r>
    </w:p>
    <w:p>
      <w:pPr>
        <w:ind w:firstLine="420" w:firstLineChars="200"/>
        <w:rPr>
          <w:rFonts w:ascii="宋体" w:hAnsi="宋体"/>
          <w:sz w:val="24"/>
          <w:szCs w:val="24"/>
          <w:lang w:val="zh-CN"/>
        </w:rPr>
      </w:pPr>
      <w:r>
        <w:rPr>
          <w:rFonts w:ascii="宋体" w:eastAsia="宋体" w:hAnsi="宋体" w:cs="宋体"/>
          <w:b w:val="0"/>
          <w:color w:val="000000"/>
          <w:sz w:val="24"/>
        </w:rPr>
        <w:t>报告期内，本产品向招商银行股份有限公司实付销售服务费用25,135.66元，实付托管费用7,115.15元。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4本产品发生的其他类关联交易，</w:t>
      </w:r>
      <w:r>
        <w:rPr>
          <w:rFonts w:ascii="宋体" w:hAnsi="宋体" w:hint="eastAsia"/>
          <w:sz w:val="24"/>
          <w:szCs w:val="24"/>
        </w:rPr>
        <w:t>合计关联交易金额为</w:t>
      </w:r>
      <w:r>
        <w:rPr>
          <w:rFonts w:ascii="宋体" w:eastAsia="宋体" w:hAnsi="宋体" w:cs="宋体"/>
          <w:b w:val="0"/>
          <w:color w:val="000000"/>
          <w:sz w:val="24"/>
        </w:rPr>
        <w:t>8,608,412.19</w:t>
      </w:r>
      <w:r>
        <w:rPr>
          <w:rFonts w:ascii="宋体" w:hAnsi="宋体" w:hint="eastAsia"/>
          <w:sz w:val="24"/>
          <w:szCs w:val="24"/>
          <w:lang w:val="zh-CN"/>
        </w:rPr>
        <w:t>元。</w:t>
      </w:r>
    </w:p>
    <w:p>
      <w:pPr>
        <w:rPr>
          <w:rFonts w:ascii="宋体" w:hAnsi="宋体"/>
          <w:sz w:val="24"/>
          <w:szCs w:val="24"/>
          <w:lang w:val="zh-CN"/>
        </w:rPr>
      </w:pPr>
      <w:r>
        <w:rPr>
          <w:rFonts w:ascii="宋体" w:eastAsia="宋体" w:hAnsi="宋体" w:cs="宋体"/>
          <w:b w:val="0"/>
          <w:color w:val="000000"/>
          <w:sz w:val="24"/>
        </w:rPr>
        <w:t>4.2</w:t>
      </w:r>
      <w:r>
        <w:rPr>
          <w:rFonts w:ascii="宋体" w:hAnsi="宋体" w:hint="eastAsia"/>
          <w:sz w:val="24"/>
          <w:szCs w:val="24"/>
        </w:rPr>
        <w:t>.</w:t>
      </w:r>
      <w:r>
        <w:rPr>
          <w:rFonts w:ascii="宋体" w:hAnsi="宋体" w:hint="eastAsia"/>
          <w:sz w:val="24"/>
          <w:szCs w:val="24"/>
          <w:lang w:val="zh-CN"/>
        </w:rPr>
        <w:t>5本产品报告期内重大关联交易发生情况</w:t>
      </w:r>
    </w:p>
    <w:p>
      <w:pPr>
        <w:rPr>
          <w:rFonts w:ascii="宋体" w:hAnsi="宋体"/>
          <w:sz w:val="24"/>
          <w:szCs w:val="24"/>
          <w:lang w:val="zh-CN"/>
        </w:rPr>
      </w:pPr>
      <w:r>
        <w:rPr>
          <w:rFonts w:ascii="宋体" w:hAnsi="宋体"/>
          <w:sz w:val="24"/>
          <w:szCs w:val="24"/>
          <w:lang w:val="zh-CN"/>
        </w:rPr>
        <w:tab/>
      </w:r>
      <w:r>
        <w:rPr>
          <w:rFonts w:ascii="宋体" w:eastAsia="宋体" w:hAnsi="宋体" w:cs="宋体"/>
          <w:b w:val="0"/>
          <w:color w:val="000000"/>
          <w:sz w:val="24"/>
        </w:rPr>
        <w:t>报告期内，本产品未发生重大关联交易。</w:t>
      </w:r>
    </w:p>
    <w:p w:rsidR="00AE2883" w:rsidRPr="00167AE2" w:rsidP="00167AE2">
      <w:pPr>
        <w:pStyle w:val="Heading1"/>
        <w:spacing w:line="360" w:lineRule="auto"/>
        <w:jc w:val="center"/>
        <w:rPr>
          <w:rFonts w:ascii="宋体" w:hAnsi="宋体"/>
          <w:sz w:val="24"/>
          <w:szCs w:val="24"/>
          <w:shd w:val="clear" w:color="auto" w:fill="FFFFFF"/>
        </w:rPr>
      </w:pPr>
      <w:bookmarkStart w:id="16" w:name="_Toc256000011"/>
      <w:r w:rsidRPr="00763A00">
        <w:rPr>
          <w:rFonts w:ascii="宋体" w:hAnsi="宋体" w:hint="eastAsia"/>
          <w:sz w:val="24"/>
          <w:szCs w:val="24"/>
          <w:shd w:val="clear" w:color="auto" w:fill="FFFFFF"/>
        </w:rPr>
        <w:t>§</w:t>
      </w:r>
      <w:r w:rsidRPr="00763A00" w:rsidR="003D0033">
        <w:rPr>
          <w:rFonts w:ascii="宋体" w:hAnsi="宋体"/>
          <w:sz w:val="24"/>
          <w:szCs w:val="24"/>
          <w:shd w:val="clear" w:color="auto" w:fill="FFFFFF"/>
        </w:rPr>
        <w:t>5</w:t>
      </w:r>
      <w:r w:rsidRPr="00763A00">
        <w:rPr>
          <w:rFonts w:ascii="宋体" w:hAnsi="宋体" w:hint="eastAsia"/>
          <w:sz w:val="24"/>
          <w:szCs w:val="24"/>
          <w:shd w:val="clear" w:color="auto" w:fill="FFFFFF"/>
        </w:rPr>
        <w:t xml:space="preserve"> 投资组合报告</w:t>
      </w:r>
      <w:bookmarkEnd w:id="16"/>
      <w:bookmarkStart w:id="17" w:name="章节5"/>
    </w:p>
    <w:p w:rsidR="00BC02A8">
      <w:pPr>
        <w:pStyle w:val="Heading2"/>
        <w:rPr>
          <w:b w:val="0"/>
          <w:bCs/>
          <w:sz w:val="24"/>
          <w:szCs w:val="24"/>
          <w:shd w:val="clear" w:color="auto" w:fill="FFFFFF"/>
        </w:rPr>
      </w:pPr>
      <w:bookmarkStart w:id="18" w:name="_Toc256000012"/>
      <w:r>
        <w:rPr>
          <w:b/>
          <w:i w:val="0"/>
          <w:color w:val="000000"/>
          <w:position w:val="-1"/>
          <w:sz w:val="24"/>
          <w:u w:val="none"/>
        </w:rPr>
        <w:t>5.1 期末理财产品资产组合情况</w:t>
      </w:r>
      <w:bookmarkEnd w:id="18"/>
    </w:p>
    <w:tbl>
      <w:tblPr>
        <w:tblStyle w:val="TableNormal"/>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序号</w:t>
            </w:r>
          </w:p>
        </w:tc>
        <w:tc>
          <w:tcPr>
            <w:tcW w:w="1729" w:type="dxa"/>
            <w:vMerge w:val="restart"/>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项目</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穿透前</w:t>
            </w:r>
          </w:p>
        </w:tc>
        <w:tc>
          <w:tcPr>
            <w:tcW w:w="3566" w:type="dxa"/>
            <w:gridSpan w:val="2"/>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穿透后</w:t>
            </w:r>
          </w:p>
        </w:tc>
      </w:tr>
      <w:tr>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BC02A8">
            <w:pPr>
              <w:widowControl/>
              <w:jc w:val="left"/>
              <w:rPr>
                <w:rFonts w:ascii="宋体" w:hAnsi="宋体"/>
                <w:b/>
              </w:rPr>
            </w:pPr>
          </w:p>
        </w:tc>
        <w:tc>
          <w:tcPr>
            <w:tcW w:w="1729" w:type="dxa"/>
            <w:vMerge/>
            <w:tcBorders>
              <w:top w:val="single" w:sz="4" w:space="0" w:color="auto"/>
              <w:left w:val="nil"/>
              <w:bottom w:val="single" w:sz="4" w:space="0" w:color="auto"/>
              <w:right w:val="single" w:sz="4" w:space="0" w:color="auto"/>
            </w:tcBorders>
            <w:vAlign w:val="center"/>
          </w:tcPr>
          <w:p w:rsidR="00BC02A8">
            <w:pPr>
              <w:widowControl/>
              <w:jc w:val="left"/>
              <w:rPr>
                <w:rFonts w:ascii="宋体" w:hAnsi="宋体"/>
                <w:b/>
              </w:rPr>
            </w:pP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c>
          <w:tcPr>
            <w:tcW w:w="2149"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资产余额</w:t>
            </w:r>
          </w:p>
          <w:p w:rsidR="00BC02A8">
            <w:pPr>
              <w:jc w:val="center"/>
              <w:rPr>
                <w:rFonts w:ascii="宋体" w:hAnsi="宋体"/>
                <w:b/>
              </w:rPr>
            </w:pPr>
            <w:r>
              <w:rPr>
                <w:rFonts w:ascii="宋体" w:eastAsia="宋体" w:hAnsi="宋体" w:cs="宋体"/>
                <w:b/>
                <w:i w:val="0"/>
                <w:color w:val="000000"/>
                <w:position w:val="-1"/>
                <w:u w:val="none"/>
              </w:rPr>
              <w:t>（单位：元）</w:t>
            </w:r>
          </w:p>
        </w:tc>
        <w:tc>
          <w:tcPr>
            <w:tcW w:w="1417" w:type="dxa"/>
            <w:tcBorders>
              <w:top w:val="single" w:sz="4" w:space="0" w:color="auto"/>
              <w:left w:val="nil"/>
              <w:bottom w:val="single" w:sz="4" w:space="0" w:color="auto"/>
              <w:right w:val="single" w:sz="4" w:space="0" w:color="auto"/>
            </w:tcBorders>
            <w:shd w:val="clear" w:color="auto" w:fill="D9D9D9"/>
            <w:vAlign w:val="center"/>
          </w:tcPr>
          <w:p w:rsidR="00BC02A8">
            <w:pPr>
              <w:jc w:val="center"/>
              <w:rPr>
                <w:rFonts w:ascii="宋体" w:hAnsi="宋体"/>
                <w:b/>
              </w:rPr>
            </w:pPr>
            <w:r>
              <w:rPr>
                <w:rFonts w:ascii="宋体" w:hAnsi="宋体" w:hint="eastAsia"/>
                <w:b/>
              </w:rPr>
              <w:t>占产品总资产的比例（%）</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现金及银行存款</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1,461,833,615.25</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19.70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1,503,663,971.07</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20.26</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同业存单</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拆放同业及债券买入返售</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2,189,339,922.88</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29.50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2,208,762,921.86</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29.76</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债券</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181,142,367.58</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2.44</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3,709,741,355.49</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49.98</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非标准化债权类资产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6</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权益类投资</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7</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金融衍生品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8</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境外资产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9</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商品类资产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10</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另类资产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11</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公募基金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12</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私募基金</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13</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资产管理产品</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3,589,398,438.18</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48.36</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14</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委外投资-协议方式</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r>
              <w:rPr>
                <w:rFonts w:ascii="宋体" w:hAnsi="宋体" w:hint="eastAsia"/>
              </w:rPr>
              <w:t>15</w:t>
            </w: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其他资产</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0.00</w:t>
            </w:r>
          </w:p>
        </w:tc>
      </w:tr>
      <w:tr>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BC02A8">
            <w:pPr>
              <w:jc w:val="center"/>
              <w:rPr>
                <w:rFonts w:ascii="宋体" w:hAnsi="宋体"/>
              </w:rPr>
            </w:pPr>
          </w:p>
        </w:tc>
        <w:tc>
          <w:tcPr>
            <w:tcW w:w="1729" w:type="dxa"/>
            <w:tcBorders>
              <w:top w:val="single" w:sz="4" w:space="0" w:color="auto"/>
              <w:left w:val="nil"/>
              <w:bottom w:val="single" w:sz="4" w:space="0" w:color="auto"/>
              <w:right w:val="single" w:sz="4" w:space="0" w:color="auto"/>
            </w:tcBorders>
            <w:vAlign w:val="center"/>
          </w:tcPr>
          <w:p w:rsidR="00BC02A8">
            <w:pPr>
              <w:spacing w:line="360" w:lineRule="auto"/>
              <w:jc w:val="center"/>
              <w:rPr>
                <w:rFonts w:ascii="宋体" w:hAnsi="宋体"/>
              </w:rPr>
            </w:pPr>
            <w:r>
              <w:rPr>
                <w:rFonts w:ascii="宋体" w:hAnsi="宋体" w:hint="eastAsia"/>
              </w:rPr>
              <w:t>合计</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7,421,714,343.89</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7,422,168,248.42</w:t>
            </w:r>
          </w:p>
        </w:tc>
        <w:tc>
          <w:tcPr>
            <w:tcW w:w="1417" w:type="dxa"/>
            <w:tcBorders>
              <w:top w:val="single" w:sz="4" w:space="0" w:color="auto"/>
              <w:left w:val="nil"/>
              <w:bottom w:val="single" w:sz="4" w:space="0" w:color="auto"/>
              <w:right w:val="single" w:sz="4" w:space="0" w:color="auto"/>
            </w:tcBorders>
            <w:vAlign w:val="center"/>
          </w:tcPr>
          <w:p w:rsidR="00BC02A8">
            <w:pPr>
              <w:jc w:val="center"/>
              <w:rPr>
                <w:rFonts w:ascii="宋体" w:hAnsi="宋体"/>
              </w:rPr>
            </w:pPr>
            <w:r>
              <w:rPr>
                <w:rFonts w:ascii="宋体" w:eastAsia="宋体" w:hAnsi="宋体" w:cs="宋体"/>
                <w:b w:val="0"/>
                <w:i w:val="0"/>
                <w:color w:val="000000"/>
                <w:position w:val="-1"/>
                <w:u w:val="none"/>
              </w:rPr>
              <w:t>100.00</w:t>
            </w:r>
          </w:p>
        </w:tc>
      </w:tr>
    </w:tbl>
    <w:p w:rsidR="00BC02A8">
      <w:pPr>
        <w:rPr>
          <w:rFonts w:ascii="宋体" w:hAnsi="宋体"/>
          <w:shd w:val="clear" w:color="auto" w:fill="FFFFFF"/>
        </w:rPr>
      </w:pPr>
      <w:r>
        <w:rPr>
          <w:rFonts w:ascii="宋体" w:hAnsi="宋体" w:hint="eastAsia"/>
          <w:shd w:val="clear" w:color="auto" w:fill="FFFFFF"/>
        </w:rPr>
        <w:t>注：</w:t>
      </w:r>
    </w:p>
    <w:p w:rsidR="00BC02A8">
      <w:pPr>
        <w:rPr>
          <w:rFonts w:ascii="宋体" w:hAnsi="宋体" w:cs="宋体"/>
        </w:rPr>
      </w:pPr>
      <w:r>
        <w:rPr>
          <w:rFonts w:ascii="宋体" w:hAnsi="宋体" w:cs="宋体" w:hint="eastAsia"/>
        </w:rPr>
        <w:t>1.穿透前列示的为理财产品直接投资并持有的各类资产，包括公募基金、私募基金、资产管理产品、通过签订协议的方式开展委托投资-协议方式持有资产以及其他直接投资并持有的资产的余额及占比，穿透后列示的为理财产品直接持有的各类资产、公募基金（无需穿透），以及对于间接持有的通过私募基金、资产管理产品、委外投资-协议方式投资的资产，即私募基金、资产管理产品、委外投资-协议方式投资需穿透至底层资产，按照理财产品持有比</w:t>
      </w:r>
      <w:r>
        <w:rPr>
          <w:rFonts w:ascii="宋体" w:hAnsi="宋体" w:cs="宋体" w:hint="eastAsia"/>
        </w:rPr>
        <w:t>例计算的底层资产余额及占比。</w:t>
      </w:r>
    </w:p>
    <w:p w:rsidR="00BC02A8">
      <w:pPr>
        <w:rPr>
          <w:rFonts w:ascii="宋体" w:hAnsi="宋体" w:cs="宋体"/>
        </w:rPr>
      </w:pPr>
      <w:r>
        <w:rPr>
          <w:rFonts w:ascii="宋体" w:hAnsi="宋体" w:cs="宋体" w:hint="eastAsia"/>
        </w:rPr>
        <w:t>2.金额中包含资产应计利息、其他应收款项、清算款项和待摊费用。</w:t>
      </w:r>
    </w:p>
    <w:p w:rsidR="00BC02A8">
      <w:pPr>
        <w:rPr>
          <w:rFonts w:ascii="宋体" w:hAnsi="宋体" w:cs="宋体"/>
        </w:rPr>
      </w:pPr>
      <w:r>
        <w:rPr>
          <w:rFonts w:ascii="宋体" w:eastAsia="宋体" w:hAnsi="宋体" w:cs="宋体"/>
          <w:b w:val="0"/>
          <w:i w:val="0"/>
          <w:color w:val="000000"/>
          <w:position w:val="-1"/>
          <w:u w:val="none"/>
        </w:rPr>
        <w:t>3.占产品总资产的比例=资产余额/产品总资产，占比结果保留两位小数（因第二位小数四舍五入，可能存在尾差）。</w:t>
      </w:r>
    </w:p>
    <w:p w:rsidR="00EA25B3">
      <w:pPr>
        <w:pStyle w:val="Heading2"/>
        <w:widowControl/>
        <w:rPr>
          <w:rFonts w:cs="宋体" w:hint="default"/>
          <w:color w:val="333333"/>
          <w:kern w:val="0"/>
          <w:szCs w:val="21"/>
          <w:highlight w:val="lightGray"/>
          <w:shd w:val="clear" w:color="auto" w:fill="FFFFFF"/>
        </w:rPr>
      </w:pPr>
      <w:bookmarkStart w:id="19" w:name="_Toc256000013"/>
      <w:r>
        <w:rPr>
          <w:b/>
          <w:i w:val="0"/>
          <w:color w:val="000000"/>
          <w:position w:val="-1"/>
          <w:sz w:val="24"/>
          <w:u w:val="none"/>
        </w:rPr>
        <w:t>5.2 期末投资组合前十项资产</w:t>
      </w:r>
      <w:bookmarkEnd w:id="19"/>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sidRPr="0090581A">
              <w:rPr>
                <w:rFonts w:ascii="宋体" w:hAnsi="宋体" w:cs="宋体" w:hint="eastAsia"/>
                <w:b/>
                <w:szCs w:val="21"/>
              </w:rPr>
              <w:t>序号</w:t>
            </w:r>
          </w:p>
        </w:tc>
        <w:tc>
          <w:tcPr>
            <w:tcW w:w="238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资产名称</w:t>
            </w:r>
          </w:p>
        </w:tc>
        <w:tc>
          <w:tcPr>
            <w:tcW w:w="3046" w:type="dxa"/>
            <w:shd w:val="clear" w:color="auto" w:fill="BFBFBF"/>
            <w:vAlign w:val="center"/>
          </w:tcPr>
          <w:p w:rsidR="00EA25B3">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资产余额</w:t>
            </w:r>
          </w:p>
          <w:p w:rsidR="00EA25B3">
            <w:pPr>
              <w:widowControl/>
              <w:jc w:val="center"/>
              <w:rPr>
                <w:rFonts w:ascii="宋体" w:hAnsi="宋体" w:cs="宋体"/>
                <w:b/>
                <w:szCs w:val="21"/>
              </w:rPr>
            </w:pPr>
            <w:r>
              <w:rPr>
                <w:rFonts w:ascii="宋体" w:hAnsi="宋体" w:cs="宋体" w:hint="eastAsia"/>
                <w:b/>
                <w:szCs w:val="21"/>
              </w:rPr>
              <w:t>（单位：</w:t>
            </w:r>
            <w:r>
              <w:rPr>
                <w:rFonts w:ascii="宋体" w:eastAsia="宋体" w:hAnsi="宋体" w:cs="宋体"/>
                <w:b/>
                <w:i w:val="0"/>
                <w:color w:val="000000"/>
                <w:position w:val="-1"/>
                <w:u w:val="none"/>
              </w:rPr>
              <w:t>元</w:t>
            </w:r>
            <w:r>
              <w:rPr>
                <w:rFonts w:ascii="宋体" w:hAnsi="宋体" w:cs="宋体" w:hint="eastAsia"/>
                <w:b/>
                <w:szCs w:val="21"/>
              </w:rPr>
              <w:t>）</w:t>
            </w:r>
          </w:p>
        </w:tc>
        <w:tc>
          <w:tcPr>
            <w:tcW w:w="1631" w:type="dxa"/>
            <w:shd w:val="clear" w:color="auto" w:fill="BFBFBF"/>
            <w:vAlign w:val="center"/>
          </w:tcPr>
          <w:p w:rsidR="00EA25B3">
            <w:pPr>
              <w:widowControl/>
              <w:jc w:val="center"/>
              <w:rPr>
                <w:rFonts w:ascii="宋体" w:hAnsi="宋体" w:cs="宋体"/>
                <w:b/>
                <w:szCs w:val="21"/>
              </w:rPr>
            </w:pPr>
            <w:r>
              <w:rPr>
                <w:rFonts w:ascii="宋体" w:hAnsi="宋体" w:cs="宋体" w:hint="eastAsia"/>
                <w:b/>
                <w:szCs w:val="21"/>
              </w:rPr>
              <w:t>占产品净资产</w:t>
            </w:r>
          </w:p>
          <w:p w:rsidR="00EA25B3">
            <w:pPr>
              <w:widowControl/>
              <w:jc w:val="center"/>
              <w:rPr>
                <w:rFonts w:ascii="宋体" w:hAnsi="宋体" w:cs="宋体"/>
                <w:b/>
                <w:color w:val="333333"/>
                <w:kern w:val="0"/>
                <w:szCs w:val="21"/>
                <w:highlight w:val="lightGray"/>
                <w:shd w:val="clear" w:color="auto" w:fill="FFFFFF"/>
              </w:rPr>
            </w:pPr>
            <w:r>
              <w:rPr>
                <w:rFonts w:ascii="宋体" w:hAnsi="宋体" w:cs="宋体"/>
                <w:b/>
                <w:szCs w:val="21"/>
              </w:rPr>
              <w:t>的</w:t>
            </w:r>
            <w:r>
              <w:rPr>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23光大银行债02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316,615,305.37</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4.27</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21工商银行永续债01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297,223,598.62</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4.01</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21进出16</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279,244,397.58</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3.76</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25广D12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277,863,792.32</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3.74</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21工商银行永续债02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219,258,850.34</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2.95</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21农业银行永续债01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190,089,836.61</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2.56</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22邮储银行永续债01</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156,668,900.15</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2.11</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25交行TLAC非资本债02B(BC)</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131,152,808.66</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1.77</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21中国银行永续债02</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117,019,175.37</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1.58</w:t>
            </w:r>
          </w:p>
        </w:tc>
      </w:tr>
      <w:tr>
        <w:tblPrEx>
          <w:tblW w:w="9072" w:type="dxa"/>
          <w:tblInd w:w="-5" w:type="dxa"/>
          <w:tblLook w:val="0000"/>
        </w:tblPrEx>
        <w:trPr>
          <w:trHeight w:val="431"/>
        </w:trPr>
        <w:tc>
          <w:tcPr>
            <w:tcW w:w="2009"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25国开14</w:t>
            </w:r>
          </w:p>
        </w:tc>
        <w:tc>
          <w:tcPr>
            <w:tcW w:w="3046"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99,728,057.60</w:t>
            </w:r>
          </w:p>
        </w:tc>
        <w:tc>
          <w:tcPr>
            <w:tcW w:w="1631" w:type="dxa"/>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1.34</w:t>
            </w:r>
          </w:p>
        </w:tc>
      </w:tr>
    </w:tbl>
    <w:p w:rsidR="00EA25B3" w:rsidP="005016D1">
      <w:pPr>
        <w:rPr>
          <w:rFonts w:ascii="宋体" w:hAnsi="宋体"/>
          <w:szCs w:val="21"/>
          <w:shd w:val="clear" w:color="auto" w:fill="FFFFFF"/>
        </w:rPr>
      </w:pPr>
      <w:r>
        <w:rPr>
          <w:rFonts w:ascii="宋体" w:hAnsi="宋体" w:hint="eastAsia"/>
          <w:szCs w:val="21"/>
          <w:shd w:val="clear" w:color="auto" w:fill="FFFFFF"/>
        </w:rPr>
        <w:t>注：</w:t>
      </w:r>
    </w:p>
    <w:p w:rsidR="005016D1" w:rsidRPr="005016D1" w:rsidP="005016D1">
      <w:r w:rsidRPr="005016D1">
        <w:t>1.</w:t>
      </w:r>
      <w:r w:rsidRPr="005016D1">
        <w:rPr>
          <w:rFonts w:ascii="宋体" w:hAnsi="宋体" w:hint="eastAsia"/>
        </w:rPr>
        <w:t>本表格列示穿透后投资规模占比较高的前十项资产，不包括现金、活期存款、备付金、保证金、同业拆借及回购等资产。</w:t>
      </w:r>
    </w:p>
    <w:p w:rsidR="005016D1" w:rsidRPr="005016D1" w:rsidP="005016D1">
      <w:r w:rsidRPr="005016D1">
        <w:rPr>
          <w:rFonts w:hint="eastAsia"/>
        </w:rPr>
        <w:t>2.</w:t>
      </w:r>
      <w:r w:rsidRPr="005016D1">
        <w:rPr>
          <w:rFonts w:ascii="宋体" w:hAnsi="宋体" w:hint="eastAsia"/>
        </w:rPr>
        <w:t>金额中包含资产应计利息、其他应收款项、清算款项和待摊费用。</w:t>
      </w:r>
    </w:p>
    <w:p w:rsidR="005016D1" w:rsidRPr="005016D1" w:rsidP="005016D1">
      <w:r w:rsidRPr="005016D1">
        <w:rPr>
          <w:rFonts w:hint="eastAsia"/>
        </w:rPr>
        <w:t>3.</w:t>
      </w:r>
      <w:r w:rsidRPr="005016D1">
        <w:rPr>
          <w:rFonts w:ascii="宋体" w:hAnsi="宋体" w:hint="eastAsia"/>
        </w:rPr>
        <w:t>占</w:t>
      </w:r>
      <w:r w:rsidRPr="005016D1">
        <w:rPr>
          <w:rFonts w:ascii="宋体" w:hAnsi="宋体"/>
        </w:rPr>
        <w:t>产品</w:t>
      </w:r>
      <w:r w:rsidRPr="005016D1">
        <w:rPr>
          <w:rFonts w:ascii="宋体" w:hAnsi="宋体" w:hint="eastAsia"/>
        </w:rPr>
        <w:t>净</w:t>
      </w:r>
      <w:r w:rsidRPr="005016D1">
        <w:rPr>
          <w:rFonts w:ascii="宋体" w:hAnsi="宋体"/>
        </w:rPr>
        <w:t>资产的比例</w:t>
      </w:r>
      <w:r w:rsidRPr="005016D1">
        <w:t>=</w:t>
      </w:r>
      <w:r w:rsidRPr="005016D1">
        <w:rPr>
          <w:rFonts w:ascii="宋体" w:hAnsi="宋体"/>
        </w:rPr>
        <w:t>资产</w:t>
      </w:r>
      <w:r w:rsidRPr="005016D1">
        <w:rPr>
          <w:rFonts w:ascii="宋体" w:hAnsi="宋体" w:hint="eastAsia"/>
        </w:rPr>
        <w:t>余额</w:t>
      </w:r>
      <w:r w:rsidRPr="005016D1">
        <w:rPr>
          <w:rFonts w:hint="eastAsia"/>
        </w:rPr>
        <w:t>/</w:t>
      </w:r>
      <w:r w:rsidRPr="005016D1">
        <w:rPr>
          <w:rFonts w:ascii="宋体" w:hAnsi="宋体" w:hint="eastAsia"/>
        </w:rPr>
        <w:t>产品净</w:t>
      </w:r>
      <w:r w:rsidRPr="005016D1">
        <w:rPr>
          <w:rFonts w:ascii="宋体" w:hAnsi="宋体"/>
        </w:rPr>
        <w:t>资产，</w:t>
      </w:r>
      <w:r w:rsidRPr="005016D1">
        <w:rPr>
          <w:rFonts w:ascii="宋体" w:hAnsi="宋体" w:hint="eastAsia"/>
        </w:rPr>
        <w:t>占比</w:t>
      </w:r>
      <w:r w:rsidRPr="005016D1">
        <w:rPr>
          <w:rFonts w:ascii="宋体" w:hAnsi="宋体"/>
        </w:rPr>
        <w:t>结果</w:t>
      </w:r>
      <w:r w:rsidRPr="005016D1">
        <w:rPr>
          <w:rFonts w:ascii="宋体" w:hAnsi="宋体" w:hint="eastAsia"/>
        </w:rPr>
        <w:t>保留两位小数（因第二位小数四舍五入，可能存在尾差）。</w:t>
      </w:r>
    </w:p>
    <w:p w:rsidR="0038453A" w:rsidP="0038453A">
      <w:pPr>
        <w:pStyle w:val="Heading2"/>
        <w:rPr>
          <w:sz w:val="24"/>
          <w:szCs w:val="24"/>
          <w:shd w:val="clear" w:color="auto" w:fill="FFFFFF"/>
        </w:rPr>
      </w:pPr>
      <w:bookmarkStart w:id="20" w:name="_Toc256000014"/>
      <w:r>
        <w:rPr>
          <w:b/>
          <w:i w:val="0"/>
          <w:color w:val="000000"/>
          <w:position w:val="-1"/>
          <w:sz w:val="24"/>
          <w:u w:val="none"/>
        </w:rPr>
        <w:t>5.3 报告期末非标准化债权类资产信息</w:t>
      </w:r>
      <w:bookmarkEnd w:id="20"/>
    </w:p>
    <w:tbl>
      <w:tblPr>
        <w:tblStyle w:val="TableGrid"/>
        <w:tblW w:w="9067" w:type="dxa"/>
        <w:tblInd w:w="0" w:type="dxa"/>
        <w:tblLook w:val="04A0"/>
      </w:tblPr>
      <w:tblGrid>
        <w:gridCol w:w="2122"/>
        <w:gridCol w:w="1701"/>
        <w:gridCol w:w="2268"/>
        <w:gridCol w:w="1417"/>
        <w:gridCol w:w="1559"/>
      </w:tblGrid>
      <w:tr w:rsidTr="0038453A">
        <w:tblPrEx>
          <w:tblW w:w="9067" w:type="dxa"/>
          <w:tblInd w:w="0" w:type="dxa"/>
          <w:tblLook w:val="04A0"/>
        </w:tblPrEx>
        <w:tc>
          <w:tcPr>
            <w:tcW w:w="2122"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sz w:val="21"/>
              </w:rPr>
            </w:pPr>
            <w:r>
              <w:rPr>
                <w:rFonts w:ascii="宋体" w:hAnsi="宋体" w:hint="eastAsia"/>
                <w:b/>
              </w:rPr>
              <w:t>资产名称</w:t>
            </w:r>
          </w:p>
        </w:tc>
        <w:tc>
          <w:tcPr>
            <w:tcW w:w="1701"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融资客户名称</w:t>
            </w:r>
          </w:p>
        </w:tc>
        <w:tc>
          <w:tcPr>
            <w:tcW w:w="226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项目剩余融资期限</w:t>
            </w:r>
          </w:p>
          <w:p w:rsidR="0038453A">
            <w:pPr>
              <w:widowControl/>
              <w:jc w:val="center"/>
              <w:rPr>
                <w:rFonts w:ascii="宋体" w:hAnsi="宋体"/>
                <w:b/>
              </w:rPr>
            </w:pPr>
            <w:r>
              <w:rPr>
                <w:rFonts w:ascii="宋体" w:hAnsi="宋体" w:hint="eastAsia"/>
                <w:b/>
              </w:rPr>
              <w:t>（单位：天）</w:t>
            </w:r>
          </w:p>
        </w:tc>
        <w:tc>
          <w:tcPr>
            <w:tcW w:w="1417"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交易结构</w:t>
            </w:r>
          </w:p>
        </w:tc>
        <w:tc>
          <w:tcPr>
            <w:tcW w:w="1559"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38453A">
            <w:pPr>
              <w:widowControl/>
              <w:jc w:val="center"/>
              <w:rPr>
                <w:rFonts w:ascii="宋体" w:hAnsi="宋体"/>
                <w:b/>
              </w:rPr>
            </w:pPr>
            <w:r>
              <w:rPr>
                <w:rFonts w:ascii="宋体" w:hAnsi="宋体" w:hint="eastAsia"/>
                <w:b/>
              </w:rPr>
              <w:t>风险状况</w:t>
            </w:r>
          </w:p>
        </w:tc>
      </w:tr>
      <w:tr w:rsidTr="0038453A">
        <w:tblPrEx>
          <w:tblW w:w="9067" w:type="dxa"/>
          <w:tblInd w:w="0" w:type="dxa"/>
          <w:tblLook w:val="04A0"/>
        </w:tblPrEx>
        <w:trPr>
          <w:trHeight w:val="431"/>
        </w:trPr>
        <w:tc>
          <w:tcPr>
            <w:tcW w:w="2122"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701"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26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59"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13929" w:rsidRPr="0038453A" w:rsidP="0038453A">
      <w:r>
        <w:rPr>
          <w:rFonts w:ascii="宋体" w:hAnsi="宋体" w:hint="eastAsia"/>
          <w:shd w:val="clear" w:color="auto" w:fill="FFFFFF"/>
        </w:rPr>
        <w:t>注：项目剩余融资期限为非标准化债权类资产自报告期末至项目结束之间的期限，如该笔资产在报告期内已到期或已卖出，则显示为“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A10263" w:rsidP="00A10263">
      <w:pPr>
        <w:pStyle w:val="Heading2"/>
        <w:rPr>
          <w:sz w:val="24"/>
          <w:szCs w:val="24"/>
          <w:shd w:val="clear" w:color="auto" w:fill="FFFFFF"/>
        </w:rPr>
      </w:pPr>
      <w:bookmarkStart w:id="21" w:name="_Toc256000015"/>
      <w:r>
        <w:rPr>
          <w:b/>
          <w:i w:val="0"/>
          <w:color w:val="000000"/>
          <w:position w:val="-1"/>
          <w:sz w:val="24"/>
          <w:u w:val="none"/>
        </w:rPr>
        <w:t>5.4 报告期内到期的非标准化债权类资产及收益情况</w:t>
      </w:r>
      <w:bookmarkEnd w:id="21"/>
    </w:p>
    <w:tbl>
      <w:tblPr>
        <w:tblStyle w:val="TableGrid"/>
        <w:tblW w:w="9060" w:type="dxa"/>
        <w:tblInd w:w="0" w:type="dxa"/>
        <w:tblLook w:val="04A0"/>
      </w:tblPr>
      <w:tblGrid>
        <w:gridCol w:w="1953"/>
        <w:gridCol w:w="1188"/>
        <w:gridCol w:w="1543"/>
        <w:gridCol w:w="1123"/>
        <w:gridCol w:w="1133"/>
        <w:gridCol w:w="2120"/>
      </w:tblGrid>
      <w:tr w:rsidTr="00A10263">
        <w:tblPrEx>
          <w:tblW w:w="9060" w:type="dxa"/>
          <w:tblInd w:w="0" w:type="dxa"/>
          <w:tblLook w:val="04A0"/>
        </w:tblPrEx>
        <w:tc>
          <w:tcPr>
            <w:tcW w:w="195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sz w:val="21"/>
              </w:rPr>
            </w:pPr>
            <w:r>
              <w:rPr>
                <w:rFonts w:ascii="宋体" w:hAnsi="宋体" w:hint="eastAsia"/>
                <w:b/>
              </w:rPr>
              <w:t>资产名称</w:t>
            </w:r>
          </w:p>
        </w:tc>
        <w:tc>
          <w:tcPr>
            <w:tcW w:w="1188"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融资客户名称</w:t>
            </w:r>
          </w:p>
        </w:tc>
        <w:tc>
          <w:tcPr>
            <w:tcW w:w="154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项目剩余融资期限</w:t>
            </w:r>
          </w:p>
          <w:p w:rsidR="00A10263">
            <w:pPr>
              <w:widowControl/>
              <w:jc w:val="center"/>
              <w:rPr>
                <w:rFonts w:ascii="宋体" w:hAnsi="宋体"/>
                <w:b/>
              </w:rPr>
            </w:pPr>
            <w:r>
              <w:rPr>
                <w:rFonts w:ascii="宋体" w:hAnsi="宋体" w:hint="eastAsia"/>
                <w:b/>
              </w:rPr>
              <w:t>（单位：天）</w:t>
            </w:r>
          </w:p>
        </w:tc>
        <w:tc>
          <w:tcPr>
            <w:tcW w:w="112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交易结构</w:t>
            </w:r>
          </w:p>
        </w:tc>
        <w:tc>
          <w:tcPr>
            <w:tcW w:w="1133"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风险状况</w:t>
            </w:r>
          </w:p>
        </w:tc>
        <w:tc>
          <w:tcPr>
            <w:tcW w:w="2120" w:type="dxa"/>
            <w:tcBorders>
              <w:top w:val="single" w:sz="4" w:space="0" w:color="auto"/>
              <w:left w:val="single" w:sz="4" w:space="0" w:color="auto"/>
              <w:bottom w:val="single" w:sz="4" w:space="0" w:color="auto"/>
              <w:right w:val="single" w:sz="4" w:space="0" w:color="auto"/>
            </w:tcBorders>
            <w:shd w:val="clear" w:color="auto" w:fill="BEBEBE"/>
            <w:vAlign w:val="center"/>
            <w:hideMark/>
          </w:tcPr>
          <w:p w:rsidR="00A10263">
            <w:pPr>
              <w:widowControl/>
              <w:jc w:val="center"/>
              <w:rPr>
                <w:rFonts w:ascii="宋体" w:hAnsi="宋体"/>
                <w:b/>
              </w:rPr>
            </w:pPr>
            <w:r>
              <w:rPr>
                <w:rFonts w:ascii="宋体" w:hAnsi="宋体" w:hint="eastAsia"/>
                <w:b/>
              </w:rPr>
              <w:t>投资收益</w:t>
            </w:r>
          </w:p>
          <w:p w:rsidR="00A10263">
            <w:pPr>
              <w:widowControl/>
              <w:jc w:val="center"/>
              <w:rPr>
                <w:rFonts w:ascii="宋体" w:hAnsi="宋体"/>
                <w:b/>
              </w:rPr>
            </w:pPr>
            <w:r>
              <w:rPr>
                <w:rFonts w:ascii="宋体" w:eastAsia="宋体" w:hAnsi="宋体" w:cs="宋体"/>
                <w:b/>
                <w:i w:val="0"/>
                <w:color w:val="000000"/>
                <w:position w:val="-1"/>
                <w:u w:val="none"/>
              </w:rPr>
              <w:t>（单位：元）</w:t>
            </w:r>
          </w:p>
        </w:tc>
      </w:tr>
      <w:tr w:rsidTr="00A10263">
        <w:tblPrEx>
          <w:tblW w:w="9060" w:type="dxa"/>
          <w:tblInd w:w="0" w:type="dxa"/>
          <w:tblLook w:val="04A0"/>
        </w:tblPrEx>
        <w:trPr>
          <w:trHeight w:val="431"/>
        </w:trPr>
        <w:tc>
          <w:tcPr>
            <w:tcW w:w="1953" w:type="dxa"/>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188"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23"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33"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0" w:type="dxa"/>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A10263" w:rsidP="00A10263">
      <w:pPr>
        <w:rPr>
          <w:shd w:val="clear" w:color="auto" w:fill="FFFFFF"/>
        </w:rPr>
      </w:pPr>
      <w:r>
        <w:rPr>
          <w:rFonts w:ascii="宋体" w:hAnsi="宋体" w:hint="eastAsia"/>
          <w:shd w:val="clear" w:color="auto" w:fill="FFFFFF"/>
        </w:rPr>
        <w:t>注：</w:t>
      </w:r>
    </w:p>
    <w:p w:rsidR="00A10263" w:rsidP="00A10263">
      <w:pPr>
        <w:rPr>
          <w:shd w:val="clear" w:color="auto" w:fill="FFFFFF"/>
        </w:rPr>
      </w:pPr>
      <w:r>
        <w:rPr>
          <w:rFonts w:ascii="宋体" w:hAnsi="宋体" w:hint="eastAsia"/>
          <w:shd w:val="clear" w:color="auto" w:fill="FFFFFF"/>
        </w:rPr>
        <w:t>1.项目剩余融资期限为非标准化债权类资产自报告期末至项目结束之间的期限，如该笔资产在报告期内已到期或已卖出，则显示为“</w:t>
      </w:r>
      <w:r>
        <w:rPr>
          <w:rFonts w:hint="eastAsia"/>
          <w:shd w:val="clear" w:color="auto" w:fill="FFFFFF"/>
        </w:rPr>
        <w:t>-</w:t>
      </w:r>
      <w:r>
        <w:rPr>
          <w:rFonts w:ascii="宋体" w:hAnsi="宋体" w:hint="eastAsia"/>
          <w:shd w:val="clear" w:color="auto" w:fill="FFFFFF"/>
        </w:rPr>
        <w:t>”。</w:t>
      </w:r>
    </w:p>
    <w:p w:rsidR="004D414C" w:rsidRPr="00A10263" w:rsidP="00A10263">
      <w:pPr>
        <w:rPr>
          <w:shd w:val="clear" w:color="auto" w:fill="FFFFFF"/>
        </w:rPr>
      </w:pPr>
      <w:r>
        <w:rPr>
          <w:rFonts w:ascii="宋体" w:hAnsi="宋体" w:hint="eastAsia"/>
          <w:shd w:val="clear" w:color="auto" w:fill="FFFFFF"/>
        </w:rPr>
        <w:t>2.</w:t>
      </w:r>
      <w:r>
        <w:rPr>
          <w:rFonts w:ascii="宋体" w:hAnsi="宋体"/>
          <w:shd w:val="clear" w:color="auto" w:fill="FFFFFF"/>
        </w:rPr>
        <w:t>投资收益为理财产品持有该笔资产期间</w:t>
      </w:r>
      <w:r>
        <w:rPr>
          <w:rFonts w:ascii="宋体" w:hAnsi="宋体" w:hint="eastAsia"/>
        </w:rPr>
        <w:t>的投资收益情况。</w:t>
      </w:r>
    </w:p>
    <w:p w:rsidR="00587ABE" w:rsidP="00587ABE">
      <w:pPr>
        <w:pStyle w:val="Heading2"/>
        <w:rPr>
          <w:sz w:val="24"/>
          <w:szCs w:val="24"/>
          <w:shd w:val="clear" w:color="auto" w:fill="FFFFFF"/>
        </w:rPr>
      </w:pPr>
      <w:bookmarkStart w:id="22" w:name="_Toc256000016"/>
      <w:r>
        <w:rPr>
          <w:b/>
          <w:i w:val="0"/>
          <w:color w:val="000000"/>
          <w:position w:val="-1"/>
          <w:sz w:val="24"/>
          <w:u w:val="none"/>
        </w:rPr>
        <w:t>5.5 报告期末信贷资产收受益权资产信息</w:t>
      </w:r>
      <w:bookmarkEnd w:id="22"/>
    </w:p>
    <w:tbl>
      <w:tblPr>
        <w:tblStyle w:val="TableNormal"/>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7"/>
        <w:gridCol w:w="2762"/>
        <w:gridCol w:w="3504"/>
      </w:tblGrid>
      <w:tr w:rsidTr="00587ABE">
        <w:tblPrEx>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227"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资产名称</w:t>
            </w:r>
          </w:p>
        </w:tc>
        <w:tc>
          <w:tcPr>
            <w:tcW w:w="1663"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kern w:val="0"/>
                <w:highlight w:val="lightGray"/>
                <w:shd w:val="clear" w:color="auto" w:fill="FFFFFF"/>
              </w:rPr>
            </w:pPr>
            <w:r>
              <w:rPr>
                <w:rFonts w:ascii="宋体" w:hAnsi="宋体" w:hint="eastAsia"/>
                <w:b/>
              </w:rPr>
              <w:t>原始权益人名称</w:t>
            </w:r>
          </w:p>
        </w:tc>
        <w:tc>
          <w:tcPr>
            <w:tcW w:w="2110"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587ABE">
            <w:pPr>
              <w:widowControl/>
              <w:jc w:val="center"/>
              <w:rPr>
                <w:rFonts w:ascii="宋体" w:hAnsi="宋体"/>
                <w:b/>
              </w:rPr>
            </w:pPr>
            <w:r>
              <w:rPr>
                <w:rFonts w:ascii="宋体" w:hAnsi="宋体" w:hint="eastAsia"/>
                <w:b/>
              </w:rPr>
              <w:t>项目剩余融资期限</w:t>
            </w:r>
          </w:p>
          <w:p w:rsidR="00587ABE">
            <w:pPr>
              <w:widowControl/>
              <w:jc w:val="center"/>
              <w:rPr>
                <w:rFonts w:ascii="宋体" w:hAnsi="宋体"/>
                <w:b/>
                <w:kern w:val="0"/>
                <w:highlight w:val="lightGray"/>
                <w:shd w:val="clear" w:color="auto" w:fill="FFFFFF"/>
              </w:rPr>
            </w:pPr>
            <w:r>
              <w:rPr>
                <w:rFonts w:ascii="宋体" w:hAnsi="宋体" w:hint="eastAsia"/>
                <w:b/>
              </w:rPr>
              <w:t>（单位：天）</w:t>
            </w:r>
          </w:p>
        </w:tc>
      </w:tr>
      <w:tr w:rsidTr="00587ABE">
        <w:tblPrEx>
          <w:tblW w:w="5004" w:type="pct"/>
          <w:tblLook w:val="04A0"/>
        </w:tblPrEx>
        <w:trPr>
          <w:trHeight w:val="430"/>
        </w:trPr>
        <w:tc>
          <w:tcPr>
            <w:tcW w:w="1227"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c>
          <w:tcPr>
            <w:tcW w:w="1663" w:type="pct"/>
            <w:tcBorders>
              <w:top w:val="single" w:sz="4" w:space="0" w:color="auto"/>
              <w:left w:val="single" w:sz="4" w:space="0" w:color="auto"/>
              <w:bottom w:val="single" w:sz="4" w:space="0" w:color="auto"/>
              <w:right w:val="single" w:sz="4" w:space="0" w:color="auto"/>
            </w:tcBorders>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10" w:type="pct"/>
            <w:tcBorders>
              <w:top w:val="single" w:sz="4" w:space="0" w:color="auto"/>
              <w:left w:val="single" w:sz="4" w:space="0" w:color="auto"/>
              <w:bottom w:val="single" w:sz="4" w:space="0" w:color="auto"/>
              <w:right w:val="single" w:sz="4" w:space="0" w:color="auto"/>
            </w:tcBorders>
            <w:vAlign w:val="center"/>
            <w:hideMark/>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
        <w:rPr>
          <w:sz w:val="24"/>
          <w:szCs w:val="24"/>
          <w:shd w:val="clear" w:color="auto" w:fill="FFFFFF"/>
        </w:rPr>
      </w:pPr>
      <w:bookmarkStart w:id="24" w:name="_Toc256000018"/>
      <w:r>
        <w:rPr>
          <w:b/>
          <w:color w:val="000000"/>
          <w:sz w:val="24"/>
        </w:rPr>
        <w:t>5.6 报告期末商品及金融衍生品资产信息</w:t>
      </w:r>
      <w:bookmarkEnd w:id="24"/>
    </w:p>
    <w:p w:rsidR="008B7BD8" w:rsidRPr="00E43FC7" w:rsidP="00BA42D8">
      <w:pPr>
        <w:ind w:firstLine="420" w:firstLineChars="200"/>
        <w:rPr>
          <w:rFonts w:ascii="宋体" w:hAnsi="宋体"/>
          <w:sz w:val="24"/>
          <w:shd w:val="clear" w:color="auto" w:fill="FFFFFF"/>
        </w:rPr>
      </w:pPr>
      <w:r>
        <w:rPr>
          <w:rFonts w:ascii="宋体" w:eastAsia="宋体" w:hAnsi="宋体" w:cs="宋体"/>
          <w:b w:val="0"/>
          <w:color w:val="000000"/>
          <w:sz w:val="24"/>
        </w:rPr>
        <w:t>无</w:t>
      </w:r>
    </w:p>
    <w:p w:rsidR="004B3394" w:rsidRPr="008B7BD8" w:rsidP="008B7BD8">
      <w:pPr>
        <w:rPr>
          <w:rFonts w:ascii="宋体" w:hAnsi="宋体"/>
        </w:rPr>
      </w:pPr>
      <w:r>
        <w:rPr>
          <w:rFonts w:ascii="宋体" w:eastAsia="宋体" w:hAnsi="宋体" w:cs="宋体"/>
          <w:b w:val="0"/>
          <w:color w:val="000000"/>
        </w:rPr>
        <w:t xml:space="preserve"> </w:t>
      </w:r>
    </w:p>
    <w:p w:rsidR="00FF12D2" w:rsidRPr="00740BE5" w:rsidP="00AE2883">
      <w:bookmarkStart w:id="25" w:name="托管人"/>
      <w:bookmarkStart w:id="26" w:name="现金类理财"/>
    </w:p>
    <w:p w:rsidR="00DE05FF" w:rsidRPr="00EA452B" w:rsidP="00DE05FF">
      <w:pPr>
        <w:pStyle w:val="Heading1"/>
        <w:jc w:val="center"/>
        <w:rPr>
          <w:rFonts w:ascii="宋体" w:hAnsi="宋体"/>
          <w:sz w:val="24"/>
          <w:szCs w:val="24"/>
          <w:shd w:val="clear" w:color="auto" w:fill="FFFFFF"/>
        </w:rPr>
      </w:pPr>
      <w:bookmarkStart w:id="27" w:name="_Toc118393541"/>
      <w:bookmarkStart w:id="28" w:name="_Toc256000020"/>
      <w:r w:rsidRPr="00EA452B">
        <w:rPr>
          <w:rFonts w:ascii="宋体" w:hAnsi="宋体" w:hint="eastAsia"/>
          <w:sz w:val="24"/>
          <w:szCs w:val="24"/>
          <w:shd w:val="clear" w:color="auto" w:fill="FFFFFF"/>
        </w:rPr>
        <w:t>§</w:t>
      </w:r>
      <w:r w:rsidRPr="00EA452B" w:rsidR="009B022D">
        <w:rPr>
          <w:rFonts w:ascii="宋体" w:hAnsi="宋体"/>
          <w:sz w:val="24"/>
          <w:szCs w:val="24"/>
          <w:shd w:val="clear" w:color="auto" w:fill="FFFFFF"/>
        </w:rPr>
        <w:t>6</w:t>
      </w:r>
      <w:r w:rsidRPr="00EA452B" w:rsidR="00F35360">
        <w:rPr>
          <w:rFonts w:ascii="宋体" w:hAnsi="宋体"/>
          <w:sz w:val="24"/>
          <w:szCs w:val="24"/>
          <w:shd w:val="clear" w:color="auto" w:fill="FFFFFF"/>
        </w:rPr>
        <w:t xml:space="preserve"> </w:t>
      </w:r>
      <w:r w:rsidRPr="00EA452B">
        <w:rPr>
          <w:rFonts w:ascii="宋体" w:hAnsi="宋体" w:hint="eastAsia"/>
          <w:sz w:val="24"/>
          <w:szCs w:val="24"/>
          <w:shd w:val="clear" w:color="auto" w:fill="FFFFFF"/>
        </w:rPr>
        <w:t>现金管理类理财产品持有份额不低于20%投资者情况</w:t>
      </w:r>
      <w:bookmarkEnd w:id="28"/>
      <w:bookmarkEnd w:id="27"/>
    </w:p>
    <w:tbl>
      <w:tblPr>
        <w:tblStyle w:val="TableNormal"/>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1701"/>
        <w:gridCol w:w="1649"/>
        <w:gridCol w:w="1809"/>
        <w:gridCol w:w="2070"/>
      </w:tblGrid>
      <w:tr w:rsidTr="00CA3C40">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85"/>
          <w:jc w:val="center"/>
        </w:trPr>
        <w:tc>
          <w:tcPr>
            <w:tcW w:w="1413" w:type="dxa"/>
            <w:shd w:val="clear" w:color="auto" w:fill="BFBFBF" w:themeFill="background1" w:themeFillShade="BF"/>
            <w:vAlign w:val="center"/>
          </w:tcPr>
          <w:p w:rsidR="00DE05FF" w:rsidRPr="0062487F" w:rsidP="00B63B33">
            <w:pPr>
              <w:widowControl/>
              <w:jc w:val="center"/>
              <w:rPr>
                <w:rFonts w:ascii="宋体" w:hAnsi="宋体" w:cs="宋体"/>
                <w:b/>
                <w:szCs w:val="21"/>
              </w:rPr>
            </w:pPr>
            <w:r w:rsidRPr="0062487F">
              <w:rPr>
                <w:rFonts w:ascii="宋体" w:hAnsi="宋体" w:cs="宋体" w:hint="eastAsia"/>
                <w:b/>
                <w:szCs w:val="21"/>
              </w:rPr>
              <w:t>序号</w:t>
            </w:r>
          </w:p>
        </w:tc>
        <w:tc>
          <w:tcPr>
            <w:tcW w:w="1701" w:type="dxa"/>
            <w:shd w:val="clear" w:color="auto" w:fill="BFBFBF" w:themeFill="background1" w:themeFillShade="BF"/>
            <w:vAlign w:val="center"/>
          </w:tcPr>
          <w:p w:rsidR="00DE05FF" w:rsidRPr="0062487F" w:rsidP="00B63B33">
            <w:pPr>
              <w:widowControl/>
              <w:jc w:val="center"/>
              <w:rPr>
                <w:rFonts w:ascii="宋体" w:hAnsi="宋体" w:cs="宋体"/>
                <w:b/>
                <w:szCs w:val="21"/>
              </w:rPr>
            </w:pPr>
            <w:r w:rsidRPr="0062487F">
              <w:rPr>
                <w:rFonts w:ascii="宋体" w:hAnsi="宋体" w:cs="宋体" w:hint="eastAsia"/>
                <w:b/>
                <w:szCs w:val="21"/>
              </w:rPr>
              <w:t>投资者类别</w:t>
            </w:r>
          </w:p>
        </w:tc>
        <w:tc>
          <w:tcPr>
            <w:tcW w:w="1649" w:type="dxa"/>
            <w:shd w:val="clear" w:color="auto" w:fill="BFBFBF" w:themeFill="background1" w:themeFillShade="BF"/>
            <w:vAlign w:val="center"/>
          </w:tcPr>
          <w:p w:rsidR="00DE05FF" w:rsidRPr="0062487F" w:rsidP="00B63B33">
            <w:pPr>
              <w:widowControl/>
              <w:jc w:val="center"/>
              <w:rPr>
                <w:rFonts w:ascii="宋体" w:hAnsi="宋体" w:cs="宋体"/>
                <w:b/>
                <w:szCs w:val="21"/>
              </w:rPr>
            </w:pPr>
            <w:r w:rsidRPr="0062487F">
              <w:rPr>
                <w:rFonts w:ascii="宋体" w:hAnsi="宋体" w:cs="宋体" w:hint="eastAsia"/>
                <w:b/>
                <w:szCs w:val="21"/>
              </w:rPr>
              <w:t>期末持有份额（份）</w:t>
            </w:r>
          </w:p>
        </w:tc>
        <w:tc>
          <w:tcPr>
            <w:tcW w:w="1809" w:type="dxa"/>
            <w:shd w:val="clear" w:color="auto" w:fill="BFBFBF" w:themeFill="background1" w:themeFillShade="BF"/>
            <w:vAlign w:val="center"/>
          </w:tcPr>
          <w:p w:rsidR="00DE05FF" w:rsidRPr="0062487F" w:rsidP="00B63B33">
            <w:pPr>
              <w:widowControl/>
              <w:jc w:val="center"/>
              <w:rPr>
                <w:rFonts w:ascii="宋体" w:hAnsi="宋体" w:cs="宋体"/>
                <w:b/>
                <w:szCs w:val="21"/>
              </w:rPr>
            </w:pPr>
            <w:r w:rsidRPr="0062487F">
              <w:rPr>
                <w:rFonts w:ascii="宋体" w:hAnsi="宋体" w:cs="宋体" w:hint="eastAsia"/>
                <w:b/>
                <w:szCs w:val="21"/>
              </w:rPr>
              <w:t>占总份额比例（%）</w:t>
            </w:r>
          </w:p>
        </w:tc>
        <w:tc>
          <w:tcPr>
            <w:tcW w:w="2070" w:type="dxa"/>
            <w:shd w:val="clear" w:color="auto" w:fill="BFBFBF" w:themeFill="background1" w:themeFillShade="BF"/>
            <w:vAlign w:val="center"/>
          </w:tcPr>
          <w:p w:rsidR="00DE05FF" w:rsidRPr="0062487F" w:rsidP="00B63B33">
            <w:pPr>
              <w:widowControl/>
              <w:jc w:val="center"/>
              <w:rPr>
                <w:rFonts w:ascii="宋体" w:hAnsi="宋体" w:cs="宋体"/>
                <w:b/>
                <w:szCs w:val="21"/>
              </w:rPr>
            </w:pPr>
            <w:r w:rsidRPr="0062487F">
              <w:rPr>
                <w:rFonts w:ascii="宋体" w:hAnsi="宋体" w:cs="宋体" w:hint="eastAsia"/>
                <w:b/>
                <w:szCs w:val="21"/>
              </w:rPr>
              <w:t>报告期内持有份额变化情况</w:t>
            </w:r>
          </w:p>
        </w:tc>
      </w:tr>
      <w:tr w:rsidTr="00CA3C40">
        <w:tblPrEx>
          <w:tblW w:w="8642" w:type="dxa"/>
          <w:jc w:val="center"/>
          <w:tblLayout w:type="fixed"/>
          <w:tblLook w:val="04A0"/>
        </w:tblPrEx>
        <w:trPr>
          <w:trHeight w:val="285"/>
          <w:jc w:val="center"/>
        </w:trPr>
        <w:tc>
          <w:tcPr>
            <w:tcW w:w="1413" w:type="dxa"/>
            <w:vAlign w:val="center"/>
          </w:tcPr>
          <w:p>
            <w:pPr>
              <w:ind w:left="-1" w:right="-1"/>
              <w:jc w:val="center"/>
            </w:pPr>
            <w:r>
              <w:rPr>
                <w:rFonts w:ascii="宋体" w:eastAsia="宋体" w:hAnsi="宋体" w:cs="宋体"/>
                <w:b w:val="0"/>
                <w:i w:val="0"/>
                <w:color w:val="000000"/>
                <w:spacing w:val="0"/>
                <w:position w:val="-1"/>
                <w:u w:val="none"/>
                <w:vertAlign w:val="baseline"/>
              </w:rPr>
              <w:t>1</w:t>
            </w:r>
          </w:p>
        </w:tc>
        <w:tc>
          <w:tcPr>
            <w:tcW w:w="1701" w:type="dxa"/>
            <w:vAlign w:val="center"/>
          </w:tcPr>
          <w:p>
            <w:pPr>
              <w:ind w:left="-1" w:right="-1"/>
              <w:jc w:val="center"/>
            </w:pPr>
            <w:r>
              <w:rPr>
                <w:rFonts w:ascii="宋体" w:eastAsia="宋体" w:hAnsi="宋体" w:cs="宋体"/>
                <w:b w:val="0"/>
                <w:i w:val="0"/>
                <w:color w:val="000000"/>
                <w:spacing w:val="0"/>
                <w:position w:val="-1"/>
                <w:u w:val="none"/>
                <w:vertAlign w:val="baseline"/>
              </w:rPr>
              <w:t>个人</w:t>
            </w:r>
          </w:p>
        </w:tc>
        <w:tc>
          <w:tcPr>
            <w:tcW w:w="1649" w:type="dxa"/>
            <w:vAlign w:val="center"/>
          </w:tcPr>
          <w:p>
            <w:pPr>
              <w:ind w:left="-1" w:right="-1"/>
              <w:jc w:val="center"/>
            </w:pPr>
            <w:r>
              <w:rPr>
                <w:rFonts w:ascii="宋体" w:eastAsia="宋体" w:hAnsi="宋体" w:cs="宋体"/>
                <w:b w:val="0"/>
                <w:i w:val="0"/>
                <w:color w:val="000000"/>
                <w:spacing w:val="0"/>
                <w:position w:val="-1"/>
                <w:u w:val="none"/>
                <w:vertAlign w:val="baseline"/>
              </w:rPr>
              <w:t>0.00</w:t>
            </w:r>
          </w:p>
        </w:tc>
        <w:tc>
          <w:tcPr>
            <w:tcW w:w="1809" w:type="dxa"/>
            <w:vAlign w:val="center"/>
          </w:tcPr>
          <w:p>
            <w:pPr>
              <w:ind w:left="-1" w:right="-1"/>
              <w:jc w:val="center"/>
            </w:pPr>
            <w:r>
              <w:rPr>
                <w:rFonts w:ascii="宋体" w:eastAsia="宋体" w:hAnsi="宋体" w:cs="宋体"/>
                <w:b w:val="0"/>
                <w:i w:val="0"/>
                <w:color w:val="000000"/>
                <w:spacing w:val="0"/>
                <w:position w:val="-1"/>
                <w:u w:val="none"/>
                <w:vertAlign w:val="baseline"/>
              </w:rPr>
              <w:t>0.00</w:t>
            </w:r>
          </w:p>
        </w:tc>
        <w:tc>
          <w:tcPr>
            <w:tcW w:w="2070" w:type="dxa"/>
            <w:vAlign w:val="center"/>
          </w:tcPr>
          <w:p>
            <w:pPr>
              <w:ind w:left="-1" w:right="-1"/>
              <w:jc w:val="center"/>
            </w:pPr>
            <w:r>
              <w:rPr>
                <w:rFonts w:ascii="宋体" w:eastAsia="宋体" w:hAnsi="宋体" w:cs="宋体"/>
                <w:b w:val="0"/>
                <w:i w:val="0"/>
                <w:color w:val="000000"/>
                <w:spacing w:val="0"/>
                <w:position w:val="-1"/>
                <w:u w:val="none"/>
                <w:vertAlign w:val="baseline"/>
              </w:rPr>
              <w:t>与期初一致</w:t>
            </w:r>
          </w:p>
        </w:tc>
      </w:tr>
      <w:tr w:rsidTr="00CA3C40">
        <w:tblPrEx>
          <w:tblW w:w="8642" w:type="dxa"/>
          <w:jc w:val="center"/>
          <w:tblLayout w:type="fixed"/>
          <w:tblLook w:val="04A0"/>
        </w:tblPrEx>
        <w:trPr>
          <w:cantSplit/>
          <w:trHeight w:val="439"/>
          <w:jc w:val="center"/>
        </w:trPr>
        <w:tc>
          <w:tcPr>
            <w:tcW w:w="8642" w:type="dxa"/>
            <w:gridSpan w:val="5"/>
            <w:vAlign w:val="center"/>
          </w:tcPr>
          <w:p w:rsidR="00E7748D" w:rsidRPr="00D750ED" w:rsidP="00E7748D">
            <w:pPr>
              <w:jc w:val="center"/>
              <w:rPr>
                <w:rFonts w:ascii="宋体" w:hAnsi="宋体" w:cs="宋体"/>
                <w:kern w:val="0"/>
                <w:szCs w:val="21"/>
              </w:rPr>
            </w:pPr>
            <w:r w:rsidRPr="00D750ED">
              <w:rPr>
                <w:rFonts w:ascii="宋体" w:hAnsi="宋体" w:cs="宋体"/>
                <w:kern w:val="0"/>
                <w:szCs w:val="21"/>
              </w:rPr>
              <w:t>产品特有风险</w:t>
            </w:r>
          </w:p>
        </w:tc>
      </w:tr>
      <w:tr w:rsidTr="00CA3C40">
        <w:tblPrEx>
          <w:tblW w:w="8642" w:type="dxa"/>
          <w:jc w:val="center"/>
          <w:tblLayout w:type="fixed"/>
          <w:tblLook w:val="04A0"/>
        </w:tblPrEx>
        <w:trPr>
          <w:cantSplit/>
          <w:trHeight w:val="439"/>
          <w:jc w:val="center"/>
        </w:trPr>
        <w:tc>
          <w:tcPr>
            <w:tcW w:w="8642" w:type="dxa"/>
            <w:gridSpan w:val="5"/>
            <w:vAlign w:val="center"/>
          </w:tcPr>
          <w:p w:rsidR="00E7748D" w:rsidRPr="00D750ED" w:rsidP="00E7748D">
            <w:pPr>
              <w:rPr>
                <w:rFonts w:ascii="宋体" w:hAnsi="宋体"/>
                <w:kern w:val="44"/>
                <w:szCs w:val="21"/>
                <w:shd w:val="clear" w:color="auto" w:fill="FFFFFF"/>
              </w:rPr>
            </w:pPr>
            <w:r w:rsidRPr="00D750ED">
              <w:rPr>
                <w:rFonts w:ascii="宋体" w:hAnsi="宋体" w:cs="宋体" w:hint="eastAsia"/>
                <w:kern w:val="0"/>
                <w:szCs w:val="21"/>
              </w:rPr>
              <w:t>本理财产品在报告期内存在单一投资者持有产品份额比例达到或者超过产品总份额 20%的情形，如该类投资者集中赎回，可能会带来一定的流动性冲击，管理人可能无法以合理的价格及时变现资产，从而影响到产品的投资运作和收益。管理人将会加强流动性管理，防范相关风险，保护持有人利益</w:t>
            </w:r>
            <w:r w:rsidR="00D04456">
              <w:rPr>
                <w:rFonts w:ascii="宋体" w:hAnsi="宋体" w:cs="宋体" w:hint="eastAsia"/>
                <w:kern w:val="0"/>
                <w:szCs w:val="21"/>
              </w:rPr>
              <w:t>。</w:t>
            </w:r>
          </w:p>
        </w:tc>
      </w:tr>
    </w:tbl>
    <w:p w:rsidR="00E215B9" w:rsidP="00757F82"/>
    <w:p w:rsidR="00AE2883" w:rsidRPr="00C25388" w:rsidP="00AE2883">
      <w:pPr>
        <w:jc w:val="right"/>
        <w:rPr>
          <w:rFonts w:ascii="宋体" w:hAnsi="宋体"/>
          <w:sz w:val="24"/>
          <w:szCs w:val="24"/>
        </w:rPr>
      </w:pPr>
      <w:r w:rsidRPr="0094385A">
        <w:rPr>
          <w:szCs w:val="21"/>
        </w:rPr>
        <w:t xml:space="preserve"> </w:t>
      </w:r>
      <w:r>
        <w:rPr>
          <w:rFonts w:ascii="宋体" w:eastAsia="宋体" w:hAnsi="宋体" w:cs="宋体"/>
          <w:b w:val="0"/>
          <w:i w:val="0"/>
          <w:color w:val="000000"/>
          <w:position w:val="-1"/>
          <w:sz w:val="24"/>
          <w:u w:val="none"/>
        </w:rPr>
        <w:t>招银理财有限责任公司</w:t>
      </w:r>
    </w:p>
    <w:p w:rsidR="00E35DF7" w:rsidRPr="00C25388" w:rsidP="00AE2883">
      <w:pPr>
        <w:jc w:val="right"/>
        <w:rPr>
          <w:rFonts w:ascii="宋体" w:hAnsi="宋体"/>
          <w:sz w:val="24"/>
          <w:szCs w:val="24"/>
        </w:rPr>
      </w:pPr>
      <w:r>
        <w:rPr>
          <w:rFonts w:ascii="宋体" w:eastAsia="宋体" w:hAnsi="宋体" w:cs="宋体"/>
          <w:b w:val="0"/>
          <w:i w:val="0"/>
          <w:color w:val="000000"/>
          <w:position w:val="-1"/>
          <w:sz w:val="24"/>
          <w:u w:val="none"/>
        </w:rPr>
        <w:t>2026年03月31日</w:t>
      </w:r>
    </w:p>
    <w:sectPr w:rsidSect="001C68D8">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1"/>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pPr>
      <w:pStyle w:val="Footer"/>
      <w:framePr w:h="0" w:hRule="atLeast"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B326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P="007A7921">
    <w:pPr>
      <w:pStyle w:val="Footer"/>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9</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9</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RPr="00BF4CF6" w:rsidP="00BF4CF6">
    <w:pPr>
      <w:pStyle w:val="Header"/>
      <w:jc w:val="left"/>
    </w:pPr>
    <w:r>
      <w:rPr>
        <w:rFonts w:ascii="宋体" w:eastAsia="宋体" w:hAnsi="宋体" w:cs="宋体"/>
        <w:b w:val="0"/>
        <w:i w:val="0"/>
        <w:color w:val="000000"/>
        <w:position w:val="-1"/>
        <w:u w:val="none"/>
      </w:rPr>
      <w:t>招银理财招赢日日金98号现金管理类理财计划2026年第1季度</w:t>
    </w:r>
    <w:r w:rsidR="00E25757">
      <w:rPr>
        <w:rFonts w:ascii="宋体" w:hAnsi="宋体" w:hint="eastAsia"/>
      </w:rPr>
      <w:t>报告（产品</w:t>
    </w:r>
    <w:r w:rsidRPr="00BF4CF6">
      <w:rPr>
        <w:rFonts w:ascii="宋体" w:hAnsi="宋体" w:hint="eastAsia"/>
      </w:rPr>
      <w:t>代码：</w:t>
    </w:r>
    <w:r>
      <w:rPr>
        <w:rFonts w:ascii="宋体" w:eastAsia="宋体" w:hAnsi="宋体" w:cs="宋体"/>
        <w:b w:val="0"/>
        <w:i w:val="0"/>
        <w:color w:val="000000"/>
        <w:position w:val="-1"/>
        <w:u w:val="none"/>
      </w:rPr>
      <w:t>8898</w:t>
    </w:r>
    <w:r w:rsidRPr="00BF4CF6">
      <w:rPr>
        <w:rFonts w:ascii="宋体" w:hAnsi="宋体"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num" w:pos="360"/>
        </w:tabs>
        <w:ind w:left="360" w:hanging="360"/>
      </w:pPr>
      <w:rPr>
        <w:rFonts w:hint="default"/>
      </w:rPr>
    </w:lvl>
    <w:lvl w:ilvl="1">
      <w:start w:val="1"/>
      <w:numFmt w:val="lowerLetter"/>
      <w:pStyle w:val="2111111"/>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num" w:pos="780"/>
        </w:tabs>
        <w:ind w:left="780" w:hanging="360"/>
      </w:pPr>
      <w:rPr>
        <w:rFonts w:hint="default"/>
        <w:color w:val="0000FF"/>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5AE0390"/>
    <w:multiLevelType w:val="hybridMultilevel"/>
    <w:tmpl w:val="ED961BE0"/>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07230AF3"/>
    <w:multiLevelType w:val="hybridMultilevel"/>
    <w:tmpl w:val="6EC041A2"/>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103A36CE"/>
    <w:multiLevelType w:val="hybridMultilevel"/>
    <w:tmpl w:val="FBCEA0E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10F41FCB"/>
    <w:multiLevelType w:val="hybridMultilevel"/>
    <w:tmpl w:val="9D64A39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11D5526B"/>
    <w:multiLevelType w:val="hybridMultilevel"/>
    <w:tmpl w:val="4B22F04A"/>
    <w:lvl w:ilvl="0">
      <w:start w:val="1"/>
      <w:numFmt w:val="lowerLetter"/>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1CBE6AA2"/>
    <w:multiLevelType w:val="hybridMultilevel"/>
    <w:tmpl w:val="2E2E253C"/>
    <w:lvl w:ilvl="0">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2E8D0ABB"/>
    <w:multiLevelType w:val="hybridMultilevel"/>
    <w:tmpl w:val="3366504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321C1DE2"/>
    <w:multiLevelType w:val="hybridMultilevel"/>
    <w:tmpl w:val="22265DC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3ADF2A51"/>
    <w:multiLevelType w:val="hybridMultilevel"/>
    <w:tmpl w:val="29C617B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4C0F2D0C"/>
    <w:multiLevelType w:val="hybridMultilevel"/>
    <w:tmpl w:val="A38A8BA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nsid w:val="4F4C6682"/>
    <w:multiLevelType w:val="hybridMultilevel"/>
    <w:tmpl w:val="68726F1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nsid w:val="534A7AFE"/>
    <w:multiLevelType w:val="hybridMultilevel"/>
    <w:tmpl w:val="95F09A60"/>
    <w:lvl w:ilvl="0">
      <w:start w:val="1"/>
      <w:numFmt w:val="decimal"/>
      <w:lvlText w:val="%1、"/>
      <w:lvlJc w:val="left"/>
      <w:pPr>
        <w:ind w:left="927" w:hanging="360"/>
      </w:pPr>
      <w:rPr>
        <w:rFonts w:hint="default"/>
      </w:rPr>
    </w:lvl>
    <w:lvl w:ilvl="1" w:tentative="1">
      <w:start w:val="1"/>
      <w:numFmt w:val="lowerLetter"/>
      <w:lvlText w:val="%2)"/>
      <w:lvlJc w:val="left"/>
      <w:pPr>
        <w:ind w:left="1266" w:hanging="420"/>
      </w:pPr>
    </w:lvl>
    <w:lvl w:ilvl="2" w:tentative="1">
      <w:start w:val="1"/>
      <w:numFmt w:val="lowerRoman"/>
      <w:lvlText w:val="%3."/>
      <w:lvlJc w:val="right"/>
      <w:pPr>
        <w:ind w:left="1686" w:hanging="420"/>
      </w:pPr>
    </w:lvl>
    <w:lvl w:ilvl="3" w:tentative="1">
      <w:start w:val="1"/>
      <w:numFmt w:val="decimal"/>
      <w:lvlText w:val="%4."/>
      <w:lvlJc w:val="left"/>
      <w:pPr>
        <w:ind w:left="2106" w:hanging="420"/>
      </w:pPr>
    </w:lvl>
    <w:lvl w:ilvl="4" w:tentative="1">
      <w:start w:val="1"/>
      <w:numFmt w:val="lowerLetter"/>
      <w:lvlText w:val="%5)"/>
      <w:lvlJc w:val="left"/>
      <w:pPr>
        <w:ind w:left="2526" w:hanging="420"/>
      </w:pPr>
    </w:lvl>
    <w:lvl w:ilvl="5" w:tentative="1">
      <w:start w:val="1"/>
      <w:numFmt w:val="lowerRoman"/>
      <w:lvlText w:val="%6."/>
      <w:lvlJc w:val="right"/>
      <w:pPr>
        <w:ind w:left="2946" w:hanging="420"/>
      </w:pPr>
    </w:lvl>
    <w:lvl w:ilvl="6" w:tentative="1">
      <w:start w:val="1"/>
      <w:numFmt w:val="decimal"/>
      <w:lvlText w:val="%7."/>
      <w:lvlJc w:val="left"/>
      <w:pPr>
        <w:ind w:left="3366" w:hanging="420"/>
      </w:pPr>
    </w:lvl>
    <w:lvl w:ilvl="7" w:tentative="1">
      <w:start w:val="1"/>
      <w:numFmt w:val="lowerLetter"/>
      <w:lvlText w:val="%8)"/>
      <w:lvlJc w:val="left"/>
      <w:pPr>
        <w:ind w:left="3786" w:hanging="420"/>
      </w:pPr>
    </w:lvl>
    <w:lvl w:ilvl="8" w:tentative="1">
      <w:start w:val="1"/>
      <w:numFmt w:val="lowerRoman"/>
      <w:lvlText w:val="%9."/>
      <w:lvlJc w:val="right"/>
      <w:pPr>
        <w:ind w:left="4206" w:hanging="420"/>
      </w:pPr>
    </w:lvl>
  </w:abstractNum>
  <w:abstractNum w:abstractNumId="15">
    <w:nsid w:val="65D27ECA"/>
    <w:multiLevelType w:val="hybridMultilevel"/>
    <w:tmpl w:val="923A27BC"/>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 w:numId="3">
    <w:abstractNumId w:val="7"/>
  </w:num>
  <w:num w:numId="4">
    <w:abstractNumId w:val="2"/>
  </w:num>
  <w:num w:numId="5">
    <w:abstractNumId w:val="8"/>
  </w:num>
  <w:num w:numId="6">
    <w:abstractNumId w:val="3"/>
  </w:num>
  <w:num w:numId="7">
    <w:abstractNumId w:val="5"/>
  </w:num>
  <w:num w:numId="8">
    <w:abstractNumId w:val="15"/>
  </w:num>
  <w:num w:numId="9">
    <w:abstractNumId w:val="14"/>
  </w:num>
  <w:num w:numId="10">
    <w:abstractNumId w:val="11"/>
  </w:num>
  <w:num w:numId="11">
    <w:abstractNumId w:val="13"/>
  </w:num>
  <w:num w:numId="12">
    <w:abstractNumId w:val="12"/>
  </w:num>
  <w:num w:numId="13">
    <w:abstractNumId w:val="9"/>
  </w:num>
  <w:num w:numId="14">
    <w:abstractNumId w:val="4"/>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C4F90"/>
    <w:pPr>
      <w:widowControl w:val="0"/>
      <w:jc w:val="both"/>
    </w:pPr>
    <w:rPr>
      <w:kern w:val="2"/>
      <w:sz w:val="21"/>
    </w:rPr>
  </w:style>
  <w:style w:type="paragraph" w:styleId="Heading1">
    <w:name w:val="heading 1"/>
    <w:basedOn w:val="Normal"/>
    <w:next w:val="Normal"/>
    <w:link w:val="10"/>
    <w:qFormat/>
    <w:rsid w:val="00AC4F90"/>
    <w:pPr>
      <w:keepNext/>
      <w:keepLines/>
      <w:spacing w:before="340" w:after="330" w:line="576" w:lineRule="auto"/>
      <w:outlineLvl w:val="0"/>
    </w:pPr>
    <w:rPr>
      <w:b/>
      <w:kern w:val="44"/>
      <w:sz w:val="44"/>
    </w:rPr>
  </w:style>
  <w:style w:type="paragraph" w:styleId="Heading2">
    <w:name w:val="heading 2"/>
    <w:basedOn w:val="Normal"/>
    <w:next w:val="Normal"/>
    <w:link w:val="2"/>
    <w:qFormat/>
    <w:rsid w:val="003F7FB0"/>
    <w:pPr>
      <w:keepNext/>
      <w:keepLines/>
      <w:spacing w:before="260" w:after="260" w:line="413" w:lineRule="auto"/>
      <w:outlineLvl w:val="1"/>
    </w:pPr>
    <w:rPr>
      <w:rFonts w:ascii="宋体" w:hAnsi="宋体"/>
      <w:b/>
      <w:sz w:val="26"/>
    </w:rPr>
  </w:style>
  <w:style w:type="paragraph" w:styleId="Heading3">
    <w:name w:val="heading 3"/>
    <w:basedOn w:val="Normal"/>
    <w:next w:val="Normal"/>
    <w:qFormat/>
    <w:rsid w:val="003F7FB0"/>
    <w:pPr>
      <w:keepNext/>
      <w:keepLines/>
      <w:spacing w:before="260" w:after="260" w:line="413" w:lineRule="auto"/>
      <w:outlineLvl w:val="2"/>
    </w:pPr>
    <w:rPr>
      <w:rFonts w:ascii="宋体" w:hAnsi="宋体"/>
      <w:b/>
      <w:sz w:val="26"/>
    </w:rPr>
  </w:style>
  <w:style w:type="paragraph" w:styleId="Heading4">
    <w:name w:val="heading 4"/>
    <w:basedOn w:val="Normal"/>
    <w:next w:val="Normal"/>
    <w:qFormat/>
    <w:rsid w:val="00AC4F90"/>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rsid w:val="00AC4F90"/>
    <w:pPr>
      <w:keepNext/>
      <w:keepLines/>
      <w:spacing w:before="280" w:after="290" w:line="372" w:lineRule="auto"/>
      <w:outlineLvl w:val="4"/>
    </w:pPr>
    <w:rPr>
      <w:b/>
      <w:sz w:val="28"/>
    </w:rPr>
  </w:style>
  <w:style w:type="paragraph" w:styleId="Heading6">
    <w:name w:val="heading 6"/>
    <w:basedOn w:val="Normal"/>
    <w:next w:val="Normal"/>
    <w:qFormat/>
    <w:rsid w:val="00AC4F90"/>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rsid w:val="00AC4F90"/>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rsid w:val="00AC4F90"/>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rsid w:val="00AC4F90"/>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正文文本 字符"/>
    <w:link w:val="BodyText"/>
    <w:rsid w:val="00AC4F90"/>
    <w:rPr>
      <w:rFonts w:ascii="仿宋_GB2312" w:eastAsia="仿宋_GB2312"/>
      <w:sz w:val="28"/>
      <w:lang w:val="en-US" w:eastAsia="zh-CN"/>
    </w:rPr>
  </w:style>
  <w:style w:type="character" w:customStyle="1" w:styleId="2CharCharChar">
    <w:name w:val="标题 2 Char Char Char"/>
    <w:rsid w:val="00AC4F90"/>
    <w:rPr>
      <w:rFonts w:ascii="Arial" w:eastAsia="宋体" w:hAnsi="Arial"/>
      <w:b/>
      <w:kern w:val="2"/>
      <w:sz w:val="28"/>
      <w:lang w:val="en-US" w:eastAsia="zh-CN"/>
    </w:rPr>
  </w:style>
  <w:style w:type="character" w:customStyle="1" w:styleId="a0">
    <w:name w:val="批注文字 字符"/>
    <w:link w:val="CommentText"/>
    <w:uiPriority w:val="99"/>
    <w:qFormat/>
    <w:rsid w:val="00AC4F90"/>
    <w:rPr>
      <w:rFonts w:eastAsia="宋体"/>
      <w:kern w:val="2"/>
      <w:sz w:val="21"/>
      <w:lang w:val="en-US" w:eastAsia="zh-CN"/>
    </w:rPr>
  </w:style>
  <w:style w:type="character" w:styleId="FootnoteReference">
    <w:name w:val="footnote reference"/>
    <w:uiPriority w:val="99"/>
    <w:rsid w:val="00AC4F90"/>
    <w:rPr>
      <w:vertAlign w:val="superscript"/>
    </w:rPr>
  </w:style>
  <w:style w:type="character" w:customStyle="1" w:styleId="a1">
    <w:name w:val="已访问的超链接"/>
    <w:rsid w:val="00AC4F90"/>
    <w:rPr>
      <w:color w:val="800080"/>
      <w:u w:val="single"/>
    </w:rPr>
  </w:style>
  <w:style w:type="character" w:customStyle="1" w:styleId="afont1">
    <w:name w:val="afont1"/>
    <w:rsid w:val="00AC4F90"/>
    <w:rPr>
      <w:rFonts w:ascii="Arial Narrow" w:hAnsi="Arial Narrow" w:hint="default"/>
      <w:sz w:val="21"/>
    </w:rPr>
  </w:style>
  <w:style w:type="character" w:styleId="Hyperlink">
    <w:name w:val="Hyperlink"/>
    <w:uiPriority w:val="99"/>
    <w:rsid w:val="00AC4F90"/>
    <w:rPr>
      <w:color w:val="0000FF"/>
      <w:u w:val="single"/>
    </w:rPr>
  </w:style>
  <w:style w:type="character" w:customStyle="1" w:styleId="2">
    <w:name w:val="标题 2 字符"/>
    <w:link w:val="Heading2"/>
    <w:rsid w:val="003F7FB0"/>
    <w:rPr>
      <w:rFonts w:ascii="宋体" w:hAnsi="宋体"/>
      <w:b/>
      <w:kern w:val="2"/>
      <w:sz w:val="26"/>
    </w:rPr>
  </w:style>
  <w:style w:type="character" w:styleId="PageNumber">
    <w:name w:val="page number"/>
    <w:basedOn w:val="DefaultParagraphFont"/>
    <w:rsid w:val="00AC4F90"/>
  </w:style>
  <w:style w:type="character" w:customStyle="1" w:styleId="CharCharCharCharCharCharCharChar">
    <w:name w:val="正文文字 Char Char Char Char Char Char Char Char"/>
    <w:aliases w:val="正文文本1,正文文本2,正文文本3"/>
    <w:rsid w:val="00AC4F90"/>
    <w:rPr>
      <w:rFonts w:ascii="仿宋_GB2312" w:eastAsia="仿宋_GB2312"/>
      <w:sz w:val="28"/>
      <w:lang w:val="en-US" w:eastAsia="zh-CN"/>
    </w:rPr>
  </w:style>
  <w:style w:type="character" w:styleId="Strong">
    <w:name w:val="Strong"/>
    <w:uiPriority w:val="22"/>
    <w:qFormat/>
    <w:rsid w:val="00AC4F90"/>
    <w:rPr>
      <w:b/>
    </w:rPr>
  </w:style>
  <w:style w:type="character" w:styleId="CommentReference">
    <w:name w:val="annotation reference"/>
    <w:rsid w:val="00AC4F90"/>
    <w:rPr>
      <w:sz w:val="21"/>
    </w:rPr>
  </w:style>
  <w:style w:type="paragraph" w:styleId="DocumentMap">
    <w:name w:val="Document Map"/>
    <w:basedOn w:val="Normal"/>
    <w:rsid w:val="00AC4F90"/>
    <w:pPr>
      <w:shd w:val="clear" w:color="auto" w:fill="000080"/>
    </w:pPr>
  </w:style>
  <w:style w:type="paragraph" w:styleId="BalloonText">
    <w:name w:val="Balloon Text"/>
    <w:basedOn w:val="Normal"/>
    <w:rsid w:val="00AC4F90"/>
    <w:rPr>
      <w:sz w:val="18"/>
    </w:rPr>
  </w:style>
  <w:style w:type="paragraph" w:customStyle="1" w:styleId="115">
    <w:name w:val="样式 标题 1 + 段前: 1.5 行"/>
    <w:basedOn w:val="Normal"/>
    <w:rsid w:val="00AC4F90"/>
    <w:pPr>
      <w:numPr>
        <w:numId w:val="1"/>
      </w:numPr>
      <w:tabs>
        <w:tab w:val="left" w:pos="360"/>
      </w:tabs>
    </w:pPr>
    <w:rPr>
      <w:sz w:val="24"/>
    </w:rPr>
  </w:style>
  <w:style w:type="paragraph" w:customStyle="1" w:styleId="CharChar2">
    <w:name w:val="Char Char2"/>
    <w:basedOn w:val="Normal"/>
    <w:rsid w:val="00AC4F90"/>
    <w:pPr>
      <w:autoSpaceDE w:val="0"/>
      <w:autoSpaceDN w:val="0"/>
      <w:adjustRightInd w:val="0"/>
      <w:jc w:val="left"/>
      <w:textAlignment w:val="baseline"/>
    </w:pPr>
    <w:rPr>
      <w:rFonts w:ascii="宋体"/>
      <w:kern w:val="0"/>
      <w:sz w:val="34"/>
    </w:rPr>
  </w:style>
  <w:style w:type="paragraph" w:customStyle="1" w:styleId="xl33">
    <w:name w:val="xl33"/>
    <w:basedOn w:val="Normal"/>
    <w:rsid w:val="00AC4F90"/>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rsid w:val="00AC4F90"/>
  </w:style>
  <w:style w:type="paragraph" w:customStyle="1" w:styleId="a2">
    <w:name w:val="简单回函地址"/>
    <w:basedOn w:val="Normal"/>
    <w:rsid w:val="00AC4F90"/>
  </w:style>
  <w:style w:type="paragraph" w:styleId="NormalWeb">
    <w:name w:val="Normal (Web)"/>
    <w:basedOn w:val="Normal"/>
    <w:uiPriority w:val="99"/>
    <w:rsid w:val="00AC4F90"/>
    <w:pPr>
      <w:widowControl/>
      <w:spacing w:before="100" w:beforeAutospacing="1" w:after="100" w:afterAutospacing="1"/>
      <w:jc w:val="left"/>
    </w:pPr>
    <w:rPr>
      <w:rFonts w:ascii="宋体" w:hAnsi="宋体"/>
      <w:kern w:val="0"/>
      <w:sz w:val="24"/>
    </w:rPr>
  </w:style>
  <w:style w:type="paragraph" w:styleId="TOC1">
    <w:name w:val="toc 1"/>
    <w:basedOn w:val="Normal"/>
    <w:next w:val="Normal"/>
    <w:uiPriority w:val="39"/>
    <w:rsid w:val="00AC4F90"/>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AC4F90"/>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rsid w:val="00AC4F90"/>
    <w:pPr>
      <w:tabs>
        <w:tab w:val="left" w:pos="840"/>
      </w:tabs>
      <w:adjustRightInd w:val="0"/>
      <w:spacing w:line="360" w:lineRule="atLeast"/>
      <w:ind w:left="840" w:hanging="360"/>
      <w:textAlignment w:val="baseline"/>
    </w:pPr>
    <w:rPr>
      <w:sz w:val="24"/>
    </w:rPr>
  </w:style>
  <w:style w:type="paragraph" w:customStyle="1" w:styleId="Style22">
    <w:name w:val="_Style 22"/>
    <w:basedOn w:val="Normal"/>
    <w:rsid w:val="00AC4F90"/>
    <w:pPr>
      <w:autoSpaceDE w:val="0"/>
      <w:autoSpaceDN w:val="0"/>
      <w:adjustRightInd w:val="0"/>
      <w:jc w:val="left"/>
      <w:textAlignment w:val="baseline"/>
    </w:pPr>
  </w:style>
  <w:style w:type="paragraph" w:customStyle="1" w:styleId="FormLabel">
    <w:name w:val="Form Label"/>
    <w:basedOn w:val="Normal"/>
    <w:rsid w:val="00AC4F90"/>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rsid w:val="00AC4F90"/>
    <w:pPr>
      <w:numPr>
        <w:numId w:val="2"/>
      </w:numPr>
      <w:tabs>
        <w:tab w:val="left" w:pos="780"/>
      </w:tabs>
    </w:pPr>
    <w:rPr>
      <w:sz w:val="24"/>
    </w:rPr>
  </w:style>
  <w:style w:type="paragraph" w:customStyle="1" w:styleId="Char1CharCharCharChar">
    <w:name w:val="Char1 Char Char Char Char"/>
    <w:basedOn w:val="Normal"/>
    <w:rsid w:val="00AC4F90"/>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rsid w:val="00AC4F90"/>
    <w:pPr>
      <w:autoSpaceDE w:val="0"/>
      <w:autoSpaceDN w:val="0"/>
      <w:adjustRightInd w:val="0"/>
      <w:jc w:val="left"/>
      <w:textAlignment w:val="baseline"/>
    </w:pPr>
    <w:rPr>
      <w:rFonts w:ascii="宋体"/>
      <w:kern w:val="0"/>
      <w:sz w:val="34"/>
    </w:rPr>
  </w:style>
  <w:style w:type="paragraph" w:styleId="CommentSubject">
    <w:name w:val="annotation subject"/>
    <w:basedOn w:val="CommentText"/>
    <w:next w:val="CommentText"/>
    <w:rsid w:val="00AC4F90"/>
    <w:rPr>
      <w:b/>
    </w:rPr>
  </w:style>
  <w:style w:type="paragraph" w:styleId="BodyText2">
    <w:name w:val="Body Text 2"/>
    <w:basedOn w:val="Normal"/>
    <w:rsid w:val="00AC4F90"/>
    <w:pPr>
      <w:spacing w:after="120" w:line="480" w:lineRule="auto"/>
    </w:pPr>
  </w:style>
  <w:style w:type="paragraph" w:customStyle="1" w:styleId="2111111">
    <w:name w:val="样式 样式 样式 标题 2 + 段前: 1 行 段后: 1 行1 + 段前: 1 行 段后: 1 行 + 段前: 1 行 段后..."/>
    <w:basedOn w:val="Normal"/>
    <w:rsid w:val="00AC4F90"/>
    <w:pPr>
      <w:keepNext/>
      <w:keepLines/>
      <w:numPr>
        <w:ilvl w:val="1"/>
        <w:numId w:val="1"/>
      </w:numPr>
      <w:tabs>
        <w:tab w:val="left" w:pos="840"/>
      </w:tabs>
      <w:spacing w:before="447" w:after="447"/>
      <w:outlineLvl w:val="1"/>
    </w:pPr>
    <w:rPr>
      <w:rFonts w:ascii="Arial" w:hAnsi="Arial"/>
      <w:b/>
      <w:sz w:val="28"/>
    </w:rPr>
  </w:style>
  <w:style w:type="paragraph" w:styleId="Header">
    <w:name w:val="header"/>
    <w:basedOn w:val="Normal"/>
    <w:rsid w:val="00AC4F90"/>
    <w:pPr>
      <w:pBdr>
        <w:bottom w:val="single" w:sz="6" w:space="1" w:color="auto"/>
      </w:pBdr>
      <w:tabs>
        <w:tab w:val="center" w:pos="4153"/>
        <w:tab w:val="right" w:pos="8306"/>
      </w:tabs>
      <w:snapToGrid w:val="0"/>
      <w:jc w:val="center"/>
    </w:pPr>
    <w:rPr>
      <w:sz w:val="18"/>
    </w:rPr>
  </w:style>
  <w:style w:type="paragraph" w:styleId="Date">
    <w:name w:val="Date"/>
    <w:basedOn w:val="Normal"/>
    <w:next w:val="Normal"/>
    <w:rsid w:val="00AC4F90"/>
    <w:rPr>
      <w:sz w:val="24"/>
    </w:rPr>
  </w:style>
  <w:style w:type="paragraph" w:styleId="FootnoteText">
    <w:name w:val="footnote text"/>
    <w:basedOn w:val="Normal"/>
    <w:link w:val="a5"/>
    <w:rsid w:val="00AC4F90"/>
    <w:pPr>
      <w:snapToGrid w:val="0"/>
      <w:jc w:val="left"/>
    </w:pPr>
    <w:rPr>
      <w:sz w:val="18"/>
    </w:rPr>
  </w:style>
  <w:style w:type="paragraph" w:customStyle="1" w:styleId="xl30">
    <w:name w:val="xl30"/>
    <w:basedOn w:val="Normal"/>
    <w:rsid w:val="00AC4F90"/>
    <w:pPr>
      <w:widowControl/>
      <w:spacing w:before="100" w:beforeAutospacing="1" w:after="100" w:afterAutospacing="1"/>
      <w:jc w:val="right"/>
    </w:pPr>
    <w:rPr>
      <w:rFonts w:eastAsia="Arial Unicode MS"/>
      <w:kern w:val="0"/>
    </w:rPr>
  </w:style>
  <w:style w:type="paragraph" w:customStyle="1" w:styleId="Char1">
    <w:name w:val="Char1"/>
    <w:basedOn w:val="Normal"/>
    <w:rsid w:val="00AC4F90"/>
  </w:style>
  <w:style w:type="paragraph" w:customStyle="1" w:styleId="Default">
    <w:name w:val="Default"/>
    <w:rsid w:val="00AC4F90"/>
    <w:pPr>
      <w:widowControl w:val="0"/>
      <w:autoSpaceDE w:val="0"/>
      <w:autoSpaceDN w:val="0"/>
      <w:adjustRightInd w:val="0"/>
    </w:pPr>
    <w:rPr>
      <w:rFonts w:ascii="宋体"/>
      <w:color w:val="000000"/>
      <w:sz w:val="24"/>
    </w:rPr>
  </w:style>
  <w:style w:type="paragraph" w:styleId="CommentText">
    <w:name w:val="annotation text"/>
    <w:basedOn w:val="Normal"/>
    <w:link w:val="a0"/>
    <w:uiPriority w:val="99"/>
    <w:qFormat/>
    <w:rsid w:val="00AC4F90"/>
    <w:pPr>
      <w:jc w:val="left"/>
    </w:pPr>
  </w:style>
  <w:style w:type="paragraph" w:customStyle="1" w:styleId="xl31">
    <w:name w:val="xl31"/>
    <w:basedOn w:val="Normal"/>
    <w:rsid w:val="00AC4F90"/>
    <w:pPr>
      <w:widowControl/>
      <w:spacing w:before="100" w:beforeAutospacing="1" w:after="100" w:afterAutospacing="1"/>
      <w:jc w:val="center"/>
      <w:textAlignment w:val="center"/>
    </w:pPr>
    <w:rPr>
      <w:rFonts w:ascii="宋体" w:hAnsi="宋体"/>
      <w:kern w:val="0"/>
      <w:sz w:val="24"/>
    </w:rPr>
  </w:style>
  <w:style w:type="paragraph" w:styleId="BodyText">
    <w:name w:val="Body Text"/>
    <w:basedOn w:val="Normal"/>
    <w:link w:val="a"/>
    <w:rsid w:val="00AC4F90"/>
    <w:pPr>
      <w:adjustRightInd w:val="0"/>
      <w:snapToGrid w:val="0"/>
      <w:spacing w:line="324" w:lineRule="auto"/>
      <w:ind w:right="28"/>
      <w:jc w:val="left"/>
    </w:pPr>
    <w:rPr>
      <w:rFonts w:ascii="仿宋_GB2312" w:eastAsia="仿宋_GB2312"/>
      <w:kern w:val="0"/>
      <w:sz w:val="28"/>
    </w:rPr>
  </w:style>
  <w:style w:type="paragraph" w:styleId="Footer">
    <w:name w:val="footer"/>
    <w:basedOn w:val="Normal"/>
    <w:link w:val="a3"/>
    <w:uiPriority w:val="99"/>
    <w:rsid w:val="00AC4F90"/>
    <w:pPr>
      <w:tabs>
        <w:tab w:val="center" w:pos="4153"/>
        <w:tab w:val="right" w:pos="8306"/>
      </w:tabs>
      <w:snapToGrid w:val="0"/>
      <w:jc w:val="left"/>
    </w:pPr>
    <w:rPr>
      <w:sz w:val="18"/>
    </w:rPr>
  </w:style>
  <w:style w:type="paragraph" w:styleId="TOC2">
    <w:name w:val="toc 2"/>
    <w:basedOn w:val="Normal"/>
    <w:next w:val="Normal"/>
    <w:uiPriority w:val="39"/>
    <w:rsid w:val="00AC4F90"/>
    <w:pPr>
      <w:ind w:left="420" w:leftChars="200"/>
    </w:pPr>
  </w:style>
  <w:style w:type="table" w:styleId="TableGrid">
    <w:name w:val="Table Grid"/>
    <w:basedOn w:val="TableNormal"/>
    <w:rsid w:val="00D00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C71A0"/>
    <w:pPr>
      <w:ind w:left="840" w:leftChars="400"/>
    </w:pPr>
    <w:rPr>
      <w:rFonts w:ascii="Calibri" w:hAnsi="Calibri"/>
      <w:szCs w:val="22"/>
    </w:rPr>
  </w:style>
  <w:style w:type="paragraph" w:styleId="TOC4">
    <w:name w:val="toc 4"/>
    <w:basedOn w:val="Normal"/>
    <w:next w:val="Normal"/>
    <w:autoRedefine/>
    <w:uiPriority w:val="39"/>
    <w:unhideWhenUsed/>
    <w:rsid w:val="00DC71A0"/>
    <w:pPr>
      <w:ind w:left="1260" w:leftChars="600"/>
    </w:pPr>
    <w:rPr>
      <w:rFonts w:ascii="Calibri" w:hAnsi="Calibri"/>
      <w:szCs w:val="22"/>
    </w:rPr>
  </w:style>
  <w:style w:type="paragraph" w:styleId="TOC5">
    <w:name w:val="toc 5"/>
    <w:basedOn w:val="Normal"/>
    <w:next w:val="Normal"/>
    <w:autoRedefine/>
    <w:uiPriority w:val="39"/>
    <w:unhideWhenUsed/>
    <w:rsid w:val="00DC71A0"/>
    <w:pPr>
      <w:ind w:left="1680" w:leftChars="800"/>
    </w:pPr>
    <w:rPr>
      <w:rFonts w:ascii="Calibri" w:hAnsi="Calibri"/>
      <w:szCs w:val="22"/>
    </w:rPr>
  </w:style>
  <w:style w:type="paragraph" w:styleId="TOC6">
    <w:name w:val="toc 6"/>
    <w:basedOn w:val="Normal"/>
    <w:next w:val="Normal"/>
    <w:autoRedefine/>
    <w:uiPriority w:val="39"/>
    <w:unhideWhenUsed/>
    <w:rsid w:val="00DC71A0"/>
    <w:pPr>
      <w:ind w:left="2100" w:leftChars="1000"/>
    </w:pPr>
    <w:rPr>
      <w:rFonts w:ascii="Calibri" w:hAnsi="Calibri"/>
      <w:szCs w:val="22"/>
    </w:rPr>
  </w:style>
  <w:style w:type="paragraph" w:styleId="TOC7">
    <w:name w:val="toc 7"/>
    <w:basedOn w:val="Normal"/>
    <w:next w:val="Normal"/>
    <w:autoRedefine/>
    <w:uiPriority w:val="39"/>
    <w:unhideWhenUsed/>
    <w:rsid w:val="00DC71A0"/>
    <w:pPr>
      <w:ind w:left="2520" w:leftChars="1200"/>
    </w:pPr>
    <w:rPr>
      <w:rFonts w:ascii="Calibri" w:hAnsi="Calibri"/>
      <w:szCs w:val="22"/>
    </w:rPr>
  </w:style>
  <w:style w:type="paragraph" w:styleId="TOC8">
    <w:name w:val="toc 8"/>
    <w:basedOn w:val="Normal"/>
    <w:next w:val="Normal"/>
    <w:autoRedefine/>
    <w:uiPriority w:val="39"/>
    <w:unhideWhenUsed/>
    <w:rsid w:val="00DC71A0"/>
    <w:pPr>
      <w:ind w:left="2940" w:leftChars="1400"/>
    </w:pPr>
    <w:rPr>
      <w:rFonts w:ascii="Calibri" w:hAnsi="Calibri"/>
      <w:szCs w:val="22"/>
    </w:rPr>
  </w:style>
  <w:style w:type="paragraph" w:styleId="TOC9">
    <w:name w:val="toc 9"/>
    <w:basedOn w:val="Normal"/>
    <w:next w:val="Normal"/>
    <w:autoRedefine/>
    <w:uiPriority w:val="39"/>
    <w:unhideWhenUsed/>
    <w:rsid w:val="00DC71A0"/>
    <w:pPr>
      <w:ind w:left="3360" w:leftChars="1600"/>
    </w:pPr>
    <w:rPr>
      <w:rFonts w:ascii="Calibri" w:hAnsi="Calibri"/>
      <w:szCs w:val="22"/>
    </w:rPr>
  </w:style>
  <w:style w:type="character" w:customStyle="1" w:styleId="10">
    <w:name w:val="标题 1 字符"/>
    <w:link w:val="Heading1"/>
    <w:rsid w:val="006515FF"/>
    <w:rPr>
      <w:b/>
      <w:kern w:val="44"/>
      <w:sz w:val="44"/>
    </w:rPr>
  </w:style>
  <w:style w:type="paragraph" w:styleId="ListParagraph">
    <w:name w:val="List Paragraph"/>
    <w:basedOn w:val="Normal"/>
    <w:uiPriority w:val="34"/>
    <w:qFormat/>
    <w:rsid w:val="008D034C"/>
    <w:pPr>
      <w:ind w:firstLine="420" w:firstLineChars="200"/>
    </w:pPr>
  </w:style>
  <w:style w:type="paragraph" w:styleId="Revision">
    <w:name w:val="Revision"/>
    <w:hidden/>
    <w:uiPriority w:val="71"/>
    <w:unhideWhenUsed/>
    <w:rsid w:val="0082197A"/>
    <w:rPr>
      <w:kern w:val="2"/>
      <w:sz w:val="21"/>
    </w:rPr>
  </w:style>
  <w:style w:type="paragraph" w:styleId="HTMLBottomofForm">
    <w:name w:val="HTML Bottom of Form"/>
    <w:basedOn w:val="Normal"/>
    <w:next w:val="Normal"/>
    <w:link w:val="z-"/>
    <w:hidden/>
    <w:uiPriority w:val="99"/>
    <w:semiHidden/>
    <w:unhideWhenUsed/>
    <w:rsid w:val="00F1715D"/>
    <w:pPr>
      <w:widowControl/>
      <w:pBdr>
        <w:top w:val="single" w:sz="6" w:space="1" w:color="auto"/>
      </w:pBdr>
      <w:jc w:val="center"/>
    </w:pPr>
    <w:rPr>
      <w:rFonts w:ascii="Arial" w:hAnsi="Arial"/>
      <w:vanish/>
      <w:kern w:val="0"/>
      <w:sz w:val="16"/>
      <w:szCs w:val="16"/>
    </w:rPr>
  </w:style>
  <w:style w:type="character" w:customStyle="1" w:styleId="z-">
    <w:name w:val="z-窗体底端 字符"/>
    <w:link w:val="HTMLBottomofForm"/>
    <w:uiPriority w:val="99"/>
    <w:semiHidden/>
    <w:rsid w:val="00F1715D"/>
    <w:rPr>
      <w:rFonts w:ascii="Arial" w:hAnsi="Arial" w:cs="Arial"/>
      <w:vanish/>
      <w:sz w:val="16"/>
      <w:szCs w:val="16"/>
    </w:rPr>
  </w:style>
  <w:style w:type="paragraph" w:customStyle="1" w:styleId="CharCharCharCharCharCharCharCharCharCharCharChar">
    <w:name w:val="Char Char Char Char Char Char Char Char Char Char Char Char"/>
    <w:basedOn w:val="Normal"/>
    <w:rsid w:val="00461210"/>
    <w:pPr>
      <w:widowControl/>
      <w:spacing w:after="160" w:line="240" w:lineRule="exact"/>
      <w:jc w:val="left"/>
    </w:pPr>
    <w:rPr>
      <w:rFonts w:ascii="Tahoma" w:hAnsi="Tahoma" w:cs="Tahoma"/>
      <w:szCs w:val="21"/>
    </w:rPr>
  </w:style>
  <w:style w:type="character" w:customStyle="1" w:styleId="a3">
    <w:name w:val="页脚 字符"/>
    <w:link w:val="Footer"/>
    <w:uiPriority w:val="99"/>
    <w:rsid w:val="001C68D8"/>
    <w:rPr>
      <w:kern w:val="2"/>
      <w:sz w:val="18"/>
    </w:rPr>
  </w:style>
  <w:style w:type="paragraph" w:customStyle="1" w:styleId="p0">
    <w:name w:val="p0"/>
    <w:basedOn w:val="Normal"/>
    <w:rsid w:val="006647E8"/>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rsid w:val="003B30D4"/>
  </w:style>
  <w:style w:type="paragraph" w:styleId="EndnoteText">
    <w:name w:val="endnote text"/>
    <w:basedOn w:val="Normal"/>
    <w:link w:val="a4"/>
    <w:semiHidden/>
    <w:unhideWhenUsed/>
    <w:rsid w:val="00983A08"/>
    <w:pPr>
      <w:snapToGrid w:val="0"/>
      <w:jc w:val="left"/>
    </w:pPr>
  </w:style>
  <w:style w:type="character" w:customStyle="1" w:styleId="a4">
    <w:name w:val="尾注文本 字符"/>
    <w:link w:val="EndnoteText"/>
    <w:semiHidden/>
    <w:rsid w:val="00983A08"/>
    <w:rPr>
      <w:kern w:val="2"/>
      <w:sz w:val="21"/>
    </w:rPr>
  </w:style>
  <w:style w:type="character" w:styleId="EndnoteReference">
    <w:name w:val="endnote reference"/>
    <w:semiHidden/>
    <w:unhideWhenUsed/>
    <w:rsid w:val="00983A08"/>
    <w:rPr>
      <w:vertAlign w:val="superscript"/>
    </w:rPr>
  </w:style>
  <w:style w:type="character" w:customStyle="1" w:styleId="11">
    <w:name w:val="批注文字 字符1"/>
    <w:rsid w:val="00120F3B"/>
    <w:rPr>
      <w:kern w:val="2"/>
      <w:sz w:val="21"/>
    </w:rPr>
  </w:style>
  <w:style w:type="character" w:customStyle="1" w:styleId="a5">
    <w:name w:val="脚注文本 字符"/>
    <w:link w:val="FootnoteText"/>
    <w:rsid w:val="00091339"/>
    <w:rPr>
      <w:kern w:val="2"/>
      <w:sz w:val="18"/>
    </w:rPr>
  </w:style>
  <w:style w:type="character" w:customStyle="1" w:styleId="Char0">
    <w:name w:val="批注文字 Char"/>
    <w:rsid w:val="00091339"/>
    <w:rPr>
      <w:rFonts w:eastAsia="宋体"/>
      <w:kern w:val="2"/>
      <w:sz w:val="21"/>
      <w:lang w:val="en-US" w:eastAsia="zh-CN"/>
    </w:rPr>
  </w:style>
  <w:style w:type="paragraph" w:customStyle="1" w:styleId="ccb">
    <w:name w:val="ccb正文"/>
    <w:basedOn w:val="Normal"/>
    <w:qFormat/>
    <w:rsid w:val="00B1713F"/>
    <w:pPr>
      <w:spacing w:line="360" w:lineRule="auto"/>
      <w:ind w:firstLine="560" w:firstLineChars="200"/>
    </w:pPr>
    <w:rPr>
      <w:rFonts w:ascii="彩虹小标宋" w:eastAsia="彩虹小标宋" w:hAnsi="宋体" w:cs="宋体"/>
      <w:color w:val="000000"/>
      <w:sz w:val="28"/>
      <w:szCs w:val="28"/>
    </w:rPr>
  </w:style>
  <w:style w:type="character" w:styleId="PlaceholderText">
    <w:name w:val="Placeholder Text"/>
    <w:basedOn w:val="DefaultParagraphFont"/>
    <w:uiPriority w:val="99"/>
    <w:unhideWhenUsed/>
    <w:rsid w:val="00646AD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2DCA2-E4B3-4466-A1D2-EBE4D6FD6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307</Words>
  <Characters>1754</Characters>
  <Application>Microsoft Office Word</Application>
  <DocSecurity>0</DocSecurity>
  <Lines>14</Lines>
  <Paragraphs>4</Paragraphs>
  <ScaleCrop>false</ScaleCrop>
  <Company>WwW.YlmF.CoM</Company>
  <LinksUpToDate>false</LinksUpToDate>
  <CharactersWithSpaces>2057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2026-03-02T06:00:00Z</dcterms:created>
  <dc:creator>CSRC</dc:creator>
  <cp:lastModifiedBy>胡伟</cp:lastModifiedBy>
  <cp:lastPrinted>2019-06-25T10:32:00Z</cp:lastPrinted>
  <dcterms:modified xsi:type="dcterms:W3CDTF">2026-03-02T06:00:00Z</dcterms:modified>
  <cp:revision>2</cp:revision>
</cp:coreProperties>
</file>