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苏银理财恒源1年定开2期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2025年年度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苏银理财恒源1年定开2期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2021年02月26日</w:t>
      </w:r>
      <w:r>
        <w:rPr>
          <w:rFonts w:ascii="楷体" w:eastAsia="楷体" w:hAnsi="楷体" w:cs="楷体" w:hint="eastAsia"/>
        </w:rPr>
        <w:t xml:space="preserve">成立，于</w:t>
      </w:r>
      <w:r>
        <w:rPr>
          <w:rFonts w:ascii="楷体" w:eastAsia="楷体" w:hAnsi="楷体" w:cs="楷体" w:hint="eastAsia"/>
          <w:spacing w:val="-7"/>
        </w:rPr>
        <w:t xml:space="preserve">2021年02月26日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苏银理财恒源1年定开2期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Z7003121000006</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2,199,422,154.79</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2,253,366,425.91</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31000188000413285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2,286,930,632.01</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101.49%</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2025-12-31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1.024196</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1.187799</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苏银理财恒源1年定开2期B</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1.024428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1.191272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2.63%-3.23%</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苏银理财恒源1年定开2期D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1.025365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1.059919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2.75%-3.35%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苏银理财恒源1年定开2期F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1.024197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1.057149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苏银理财恒源1年定开2期G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1.024588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1.058608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2.65%-3.25%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苏银理财恒源1年定开2期J</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1.025014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1.059034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2.70%-3.30%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苏银理财恒源1年定开2期P</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1.025758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1.025758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2.80%-3.40%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苏银理财恒源1年定开2期ZA（自动赎回）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1.024188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1.057140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苏银理财恒源1年定开2期ZF（自动赎回）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1.024203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1.057155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苏银理财恒源1年定开2期ZN（自动赎回）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1.025680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1.025680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2.79%-3.39%</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苏银理财恒源1年定开2期ZQ（自动赎回）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1.023818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1.023818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2.55%-3.15%</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78"/>
        <w:gridCol w:w="2643"/>
        <w:gridCol w:w="265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78"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3"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5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78"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3"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58.11%</w:t>
            </w:r>
          </w:p>
        </w:tc>
        <w:tc>
          <w:tcPr>
            <w:tcW w:w="265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30.83%</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10.22%</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0.40%</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0.44%</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05"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3"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68.33%</w:t>
            </w:r>
          </w:p>
        </w:tc>
        <w:tc>
          <w:tcPr>
            <w:tcW w:w="265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31.67%</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中诚信托-苏诚7号-燕舞集团</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170,265,917.44</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7.22%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北方信托-江城1号-盐城城镇化</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150,289,062.48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6.38%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24紫金Y2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103,660,917.81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4.40%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24慢城01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102,676,646.58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4.36%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24宁建发</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102,571,291.78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4.35%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24无锡01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93,745,153.97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3.98%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24嵊州投资PPN001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90,860,674.93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3.86%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中粮信托-栗泽6号-京东白条取现</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90,519,410.96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3.84%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银行存款20250314</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73,113,583.78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3.10%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24金洲01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62,109,224.38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2.64%</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燕舞集团有限公司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中诚信托-苏诚7号-燕舞集团</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103</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169,931,972.79</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按季付息，到期一次还本</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盐城市城镇化建设投资集团有限公司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北方信托-江城1号-盐城城镇化</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103</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150,000,000.00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京东导流、信托自主审核通过的借款人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中粮信托-栗泽6号-京东白条取现</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75</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90,000,000.00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循环期按季付息不还本，摊还期每月过手摊还本息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京东导流、信托自主审核通过的借款人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中粮信托-栗泽8号-京东金条</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96</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60,000,000.00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循环期按季付息不还本，摊还期每月过手摊还本息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盐城市城镇化建设投资集团有限公司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2016-02-25</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2,000,000,000.00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城镇化重点投资项目的建设、运营、管理，实业投资，政府授权的国有资产和国有股权的经营、管理，政府委托的经营性资产、准经营资产的经营和非经营性资产的管理，政府委托的土地收储、整理与开发，政府委托的资产收益管理、资产重组，基础设施的建设、改造、管理，政府委托的棚户区改造、开发、经营、管理，政府委托的养老产业、农业项目、河道疏浚、新能源产业、电子商务、云计算、智能化产业，物流产业，市政公用工程、桥梁工程、园林绿化工程、水利水电工程、公用事业项目的投资管理，房地产开发与经营，房屋租赁，物业管理，建筑装饰装潢材料销售，市场营销策划，信息咨询服务，会展服务，旅游文化、教育、酒店项目的投资开发和经营管理。医护人员防护用品零售；医护人员防护用品批发；卫生用品和一次性使用医疗用品销售；医用口罩零售；医用口罩批发（依法须经批准的项目，经相关部门批准后方可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燕舞集团有限公司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2012-02-21</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4,000,000,000.00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许可项目：旅游业务；医疗服务；通用航空服务；保税物流中心经营；营业性演出（依法须经批准的项目，经相关部门批准后方可开展经营活动，具体经营项目以审批结果为准）一般项目：组织文化艺术交流活动；体育竞赛组织；体育保障组织；养老服务；酒店管理；航空商务服务；园区管理服务；互联网销售（除销售需要许可的商品）；土地整治服务；会议及展览服务；物业管理；以自有资金从事投资活动（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京东导流、信托自主审核通过的借款人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NETA20201230000002</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江苏信托鼎泰1号集合资金信托计划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410,030,898.00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500,000,000.00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51,735,105.00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61,358,020.00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ZZGL202504091190</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江苏信托安源6号集合资金信托计划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31,544,861.00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33,461,280.00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ZZGL202504091186</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江苏信托安源2号集合资金信托计划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59,657,625.00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60,000,000.00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8,787.93</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9,263.85</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2,323,841.94</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581,683.14</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62.27</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注：本报告中理财产品托管费、代销费、直销费均基于产品实际支付金额进行统计。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100,000.00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2,199,422,154.79</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2,199,422,154.79</w:t>
            </w:r>
          </w:p>
        </w:tc>
      </w:tr>
    </w:tbl>
    <w:p>
      <w:pPr>
        <w:pStyle w:val="标题4"/>
        <w:rPr>
          <w:rFonts w:ascii="楷体" w:eastAsia="楷体" w:hAnsi="楷体" w:cs="楷体" w:hint="eastAsia"/>
        </w:rPr>
      </w:pPr>
    </w:p>
    <w:p>
      <w:pPr>
        <w:pStyle w:val="Heading3"/>
        <w:rPr>
          <w:rFonts w:ascii="楷体" w:eastAsia="楷体" w:hAnsi="楷体" w:cs="楷体" w:hint="eastAsia"/>
          <w:spacing w:val="0"/>
        </w:rPr>
      </w:pPr>
      <w:r>
        <w:rPr>
          <w:rFonts w:ascii="楷体" w:eastAsia="楷体" w:hAnsi="楷体" w:cs="楷体" w:hint="eastAsia"/>
          <w:spacing w:val="0"/>
        </w:rPr>
        <w:t xml:space="preserve">四</w:t>
      </w:r>
      <w:r>
        <w:rPr>
          <w:rFonts w:ascii="楷体" w:hAnsi="楷体" w:cs="楷体" w:hint="eastAsia"/>
          <w:spacing w:val="0"/>
          <w:lang w:eastAsia="zh-CN"/>
        </w:rPr>
        <w:t xml:space="preserve">、</w:t>
      </w:r>
      <w:r>
        <w:rPr>
          <w:rFonts w:ascii="楷体" w:eastAsia="楷体" w:hAnsi="楷体" w:cs="楷体" w:hint="eastAsia"/>
          <w:spacing w:val="0"/>
        </w:rPr>
        <w:t xml:space="preserve">投资运作情况</w:t>
      </w: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1、运作期回顾</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2025年债券市场整体呈震荡趋势，产品整体表现较为稳健，后续有望继续提供长期稳健收益。</w:t>
      </w:r>
    </w:p>
    <w:p>
      <w:pPr>
        <w:pStyle w:val="BodyText"/>
        <w:spacing w:before="0" w:line="240" w:lineRule="auto"/>
        <w:ind w:left="0" w:right="0" w:firstLine="0" w:firstLineChars="0"/>
        <w:rPr>
          <w:rFonts w:ascii="楷体" w:eastAsia="楷体" w:hAnsi="楷体" w:cs="楷体" w:hint="eastAsia"/>
          <w:spacing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2、后市展望及下阶段投资策略</w:t>
      </w:r>
    </w:p>
    <w:p>
      <w:pPr>
        <w:pStyle w:val="BodyText"/>
        <w:spacing w:before="0" w:line="240" w:lineRule="auto"/>
        <w:ind w:left="0" w:right="0" w:firstLine="0" w:firstLineChars="0"/>
        <w:jc w:val="left"/>
        <w:rPr>
          <w:rFonts w:ascii="楷体" w:eastAsia="楷体" w:hAnsi="楷体" w:cs="楷体" w:hint="eastAsia"/>
          <w:spacing w:val="0"/>
          <w:sz w:val="21"/>
          <w:szCs w:val="21"/>
        </w:rPr>
      </w:pPr>
      <w:r>
        <w:rPr>
          <w:rFonts w:ascii="楷体" w:eastAsia="楷体" w:hAnsi="楷体" w:cs="楷体" w:hint="eastAsia"/>
          <w:spacing w:val="0"/>
          <w:sz w:val="21"/>
          <w:szCs w:val="21"/>
        </w:rPr>
        <w:t xml:space="preserve">    2025年债市收益率整体震荡上行，10年期国债收益率年初从1.60% 附近起步，全年宽幅震荡，收于1.85%左右。一季度受流动性边际收敛及货币政策宽松力度不及市场预期影响，10年期国债收益率快速上行至1.80%左右；二季度经济延续弱复苏格局，外部关税冲击逐步缓解之后，资金面平稳带动利率小幅回落；三季度因“反内卷”等稳增长政策发力，市场风险偏好回升，“股债跷跷板”效应显著，长端收益率再度上行；四季度资金面持续宽松、基本面弱复苏，但市场心态持续受到公募销售费率新规扰动，债市重回区间震荡，全年中枢较2024年上移。</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展望 2026年，经济仍处弱复苏通道，货币政策维持宽松基调，债市大概率延续区间震荡，需重点跟踪内生需求、财政供给及海外政策变化，把握波段操作机会。</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0" w:firstLineChars="0"/>
        <w:rPr>
          <w:rFonts w:ascii="楷体" w:eastAsia="楷体" w:hAnsi="楷体" w:cs="楷体" w:hint="eastAsia"/>
          <w:bCs/>
          <w:spacing w:val="0"/>
          <w:kern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3、流动性风险分析</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本产品持仓优质非标资产与中高等级债券，抗市场波动能力较强，通过组合久期管理、流动性指标监测等多项措施持续加强久期与流动性管理，有效控制产品的流动性风险。</w:t>
      </w:r>
    </w:p>
    <w:p>
      <w:pPr>
        <w:pStyle w:val="BodyText"/>
        <w:spacing w:before="0" w:line="240" w:lineRule="auto"/>
        <w:ind w:left="0" w:right="0" w:firstLine="0" w:firstLineChars="0"/>
        <w:rPr>
          <w:rFonts w:ascii="楷体" w:eastAsia="楷体" w:hAnsi="楷体" w:cs="楷体" w:hint="eastAsia"/>
          <w:spacing w:val="9"/>
          <w:sz w:val="21"/>
        </w:rPr>
      </w:pPr>
    </w:p>
    <w:p>
      <w:pPr>
        <w:pStyle w:val="Heading3"/>
        <w:rPr>
          <w:rFonts w:ascii="楷体" w:hAnsi="楷体"/>
          <w:sz w:val="24"/>
          <w:szCs w:val="24"/>
        </w:rPr>
      </w:pPr>
      <w:r>
        <w:rPr>
          <w:rFonts w:ascii="楷体" w:hAnsi="楷体" w:hint="eastAsia"/>
          <w:sz w:val="24"/>
          <w:szCs w:val="24"/>
        </w:rPr>
        <w:t xml:space="preserve">五</w:t>
      </w:r>
      <w:r>
        <w:rPr>
          <w:rFonts w:ascii="楷体" w:hAnsi="楷体" w:hint="eastAsia"/>
          <w:sz w:val="24"/>
          <w:szCs w:val="24"/>
          <w:lang w:eastAsia="zh-CN"/>
        </w:rPr>
        <w:t xml:space="preserve">、</w:t>
      </w:r>
      <w:r>
        <w:rPr>
          <w:rFonts w:ascii="楷体" w:hAnsi="楷体" w:hint="eastAsia"/>
          <w:sz w:val="24"/>
          <w:szCs w:val="24"/>
        </w:rPr>
        <w:t xml:space="preserve">托管人报告</w:t>
      </w:r>
    </w:p>
    <w:p>
      <w:pPr>
        <w:jc w:val="left"/>
        <w:rPr>
          <w:rFonts w:ascii="楷体" w:eastAsia="楷体" w:hAnsi="楷体" w:cs="楷体" w:hint="eastAsia"/>
          <w:spacing w:val="9"/>
          <w:sz w:val="21"/>
          <w:szCs w:val="21"/>
        </w:rPr>
      </w:pPr>
      <w:bookmarkStart w:id="1" w:name="_GoBack"/>
      <w:bookmarkEnd w:id="1"/>
      <w:r>
        <w:rPr>
          <w:rFonts w:ascii="楷体" w:eastAsia="楷体" w:hAnsi="楷体" w:cs="楷体" w:hint="eastAsia"/>
          <w:spacing w:val="0"/>
          <w:sz w:val="21"/>
          <w:szCs w:val="21"/>
        </w:rPr>
        <w:t xml:space="preserve">    在本报告期内，托管人严格遵守有关法律法规、托管协议关于托管人职责的约定，尽职尽责地履行了托管职责。在管理人提供的各项数据和信息真实、准确、有效的前提下，在托管人能够知悉和掌握的情况范围内，托管人对财务数据进行了复核，未发现存在虚假记载、误导性陈述或者重大遗漏的情形。</w:t>
      </w: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1225"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1227"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1228"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1230"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2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2026-03-23T08:13:28Z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0</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0</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2026-04-21T11:13:20Z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