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苏银理财启源货币1号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苏银理财启源货币1号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2023年12月07日</w:t>
      </w:r>
      <w:r>
        <w:rPr>
          <w:rFonts w:ascii="楷体" w:eastAsia="楷体" w:hAnsi="楷体" w:cs="楷体" w:hint="eastAsia"/>
        </w:rPr>
        <w:t xml:space="preserve">成立，于</w:t>
      </w:r>
      <w:r>
        <w:rPr>
          <w:rFonts w:ascii="楷体" w:eastAsia="楷体" w:hAnsi="楷体" w:cs="楷体" w:hint="eastAsia"/>
          <w:spacing w:val="-7"/>
        </w:rPr>
        <w:t xml:space="preserve">2023年12月07日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0" w:name="_Toc535504139"/>
      <w:r>
        <w:rPr>
          <w:rFonts w:ascii="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苏银理财启源货币1号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Z7003123000204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7,691,358,558.09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7,691,358,558.09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31000188000564305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7,722,312,684.77</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100.40%</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1"/>
                <w:szCs w:val="21"/>
              </w:rPr>
            </w:pPr>
            <w:r>
              <w:rPr>
                <w:rFonts w:ascii="楷体" w:eastAsia="楷体" w:hAnsi="楷体" w:cs="楷体" w:hint="eastAsia"/>
                <w:sz w:val="21"/>
                <w:szCs w:val="21"/>
              </w:rPr>
              <w:t xml:space="preserve">报告日期</w:t>
            </w:r>
          </w:p>
        </w:tc>
        <w:tc>
          <w:tcPr>
            <w:tcW w:w="2085" w:type="dxa"/>
          </w:tcPr>
          <w:p>
            <w:pPr>
              <w:spacing w:line="320" w:lineRule="exact"/>
              <w:jc w:val="center"/>
              <w:rPr>
                <w:rFonts w:ascii="楷体" w:eastAsia="楷体" w:hAnsi="楷体" w:cs="楷体"/>
                <w:sz w:val="21"/>
                <w:szCs w:val="21"/>
              </w:rPr>
            </w:pPr>
            <w:r>
              <w:rPr>
                <w:rFonts w:ascii="楷体" w:eastAsia="楷体" w:hAnsi="楷体" w:cs="楷体" w:hint="eastAsia"/>
                <w:sz w:val="21"/>
                <w:szCs w:val="21"/>
              </w:rPr>
              <w:t xml:space="preserve">销售名称</w:t>
            </w:r>
          </w:p>
        </w:tc>
        <w:tc>
          <w:tcPr>
            <w:tcW w:w="1500" w:type="dxa"/>
          </w:tcPr>
          <w:p>
            <w:pPr>
              <w:jc w:val="center"/>
              <w:rPr>
                <w:rFonts w:ascii="楷体" w:eastAsia="楷体" w:hAnsi="楷体" w:cs="楷体"/>
                <w:sz w:val="21"/>
                <w:szCs w:val="21"/>
              </w:rPr>
            </w:pPr>
            <w:r>
              <w:rPr>
                <w:rFonts w:ascii="楷体" w:eastAsia="楷体" w:hAnsi="楷体" w:cs="楷体" w:hint="eastAsia"/>
                <w:sz w:val="21"/>
                <w:szCs w:val="21"/>
              </w:rPr>
              <w:t xml:space="preserve">每万份收益</w:t>
            </w:r>
          </w:p>
        </w:tc>
        <w:tc>
          <w:tcPr>
            <w:tcW w:w="1665" w:type="dxa"/>
          </w:tcPr>
          <w:p>
            <w:pPr>
              <w:jc w:val="center"/>
              <w:rPr>
                <w:rFonts w:ascii="楷体" w:eastAsia="楷体" w:hAnsi="楷体" w:cs="楷体"/>
                <w:sz w:val="21"/>
                <w:szCs w:val="21"/>
              </w:rPr>
            </w:pPr>
            <w:r>
              <w:rPr>
                <w:rFonts w:ascii="楷体" w:eastAsia="楷体" w:hAnsi="楷体" w:cs="楷体" w:hint="eastAsia"/>
                <w:sz w:val="21"/>
                <w:szCs w:val="21"/>
              </w:rPr>
              <w:t xml:space="preserve">七日年化收益率</w:t>
            </w:r>
          </w:p>
        </w:tc>
        <w:tc>
          <w:tcPr>
            <w:tcW w:w="1861" w:type="dxa"/>
          </w:tcPr>
          <w:p>
            <w:pPr>
              <w:jc w:val="center"/>
              <w:rPr>
                <w:rFonts w:ascii="楷体" w:eastAsia="楷体" w:hAnsi="楷体" w:cs="楷体"/>
                <w:sz w:val="21"/>
                <w:szCs w:val="21"/>
              </w:rPr>
            </w:pPr>
            <w:r>
              <w:rPr>
                <w:rFonts w:ascii="楷体" w:eastAsia="楷体" w:hAnsi="楷体" w:cs="楷体" w:hint="eastAsia"/>
                <w:sz w:val="21"/>
                <w:szCs w:val="21"/>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rPr>
            </w:pPr>
            <w:r>
              <w:rPr>
                <w:rFonts w:ascii="楷体" w:eastAsia="楷体" w:hAnsi="楷体" w:cs="楷体" w:hint="eastAsia"/>
                <w:sz w:val="22"/>
              </w:rPr>
              <w:t xml:space="preserve">2025-12-31</w:t>
            </w:r>
          </w:p>
        </w:tc>
        <w:tc>
          <w:tcPr>
            <w:tcW w:w="2085" w:type="dxa"/>
          </w:tcPr>
          <w:p>
            <w:pPr>
              <w:jc w:val="center"/>
              <w:rPr>
                <w:rFonts w:ascii="楷体" w:eastAsia="楷体" w:hAnsi="楷体" w:cs="楷体"/>
                <w:sz w:val="22"/>
              </w:rPr>
            </w:pPr>
            <w:r>
              <w:rPr>
                <w:rFonts w:ascii="楷体" w:eastAsia="楷体" w:hAnsi="楷体" w:cs="楷体" w:hint="eastAsia"/>
                <w:sz w:val="22"/>
              </w:rPr>
              <w:t xml:space="preserve">苏银理财启源货币1号A</w:t>
            </w:r>
          </w:p>
        </w:tc>
        <w:tc>
          <w:tcPr>
            <w:tcW w:w="1500" w:type="dxa"/>
          </w:tcPr>
          <w:p>
            <w:pPr>
              <w:jc w:val="center"/>
              <w:rPr>
                <w:rFonts w:ascii="楷体" w:eastAsia="楷体" w:hAnsi="楷体" w:cs="楷体"/>
                <w:sz w:val="22"/>
              </w:rPr>
            </w:pPr>
            <w:r>
              <w:rPr>
                <w:rFonts w:ascii="楷体" w:eastAsia="楷体" w:hAnsi="楷体" w:cs="楷体" w:hint="eastAsia"/>
                <w:sz w:val="22"/>
              </w:rPr>
              <w:t xml:space="preserve">0.4439</w:t>
            </w:r>
          </w:p>
        </w:tc>
        <w:tc>
          <w:tcPr>
            <w:tcW w:w="1665" w:type="dxa"/>
          </w:tcPr>
          <w:p>
            <w:pPr>
              <w:jc w:val="center"/>
              <w:rPr>
                <w:rFonts w:ascii="楷体" w:eastAsia="楷体" w:hAnsi="楷体" w:cs="楷体"/>
                <w:sz w:val="22"/>
              </w:rPr>
            </w:pPr>
            <w:r>
              <w:rPr>
                <w:rFonts w:ascii="楷体" w:eastAsia="楷体" w:hAnsi="楷体" w:cs="楷体" w:hint="eastAsia"/>
                <w:sz w:val="22"/>
              </w:rPr>
              <w:t xml:space="preserve">1.53%</w:t>
            </w:r>
          </w:p>
        </w:tc>
        <w:tc>
          <w:tcPr>
            <w:tcW w:w="1861" w:type="dxa"/>
          </w:tcPr>
          <w:p>
            <w:pPr>
              <w:jc w:val="center"/>
              <w:rPr>
                <w:rFonts w:ascii="楷体" w:eastAsia="楷体" w:hAnsi="楷体" w:cs="楷体"/>
                <w:sz w:val="22"/>
              </w:rPr>
            </w:pPr>
            <w:r>
              <w:rPr>
                <w:rFonts w:ascii="楷体" w:eastAsia="楷体" w:hAnsi="楷体" w:cs="楷体" w:hint="eastAsia"/>
                <w:sz w:val="22"/>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苏银理财启源货币1号DG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0.4949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1.72%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苏银理财启源货币1号F</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苏银理财启源货币1号H</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1.48%</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苏银理财启源货币1号I</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苏银理财启源货币1号J</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苏银理财启源货币1号JS鑫福款</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苏银理财启源货币1号K</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苏银理财启源货币1号M</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0.4823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1.68%</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苏银理财启源货币1号P</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1.59%</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苏银理财启源货币1号T</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0.4686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苏银理财启源货币1号W</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0.3891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苏银理财启源货币1号XN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0.6531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2.41%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03"/>
        <w:gridCol w:w="2672"/>
        <w:gridCol w:w="2698"/>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03"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72"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98"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03"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72"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78.01%</w:t>
            </w:r>
          </w:p>
        </w:tc>
        <w:tc>
          <w:tcPr>
            <w:tcW w:w="2698"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21.99%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0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7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9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0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7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9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0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7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9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30"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72"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78.01%</w:t>
            </w:r>
          </w:p>
        </w:tc>
        <w:tc>
          <w:tcPr>
            <w:tcW w:w="2698"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21.99%</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822,998,048.57</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10.64%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200,177,259.01</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2.59%</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24农发清发02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152,721,474.89</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1.97%</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150,158,219.18</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25北京银行CD187</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120,208,261.62</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1.55%</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119,764,057.76</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1.55%</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24农发清发32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110,255,655.79</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1.43%</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银行存款20250121</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101,792,081.80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银行存款20250210</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101,652,082.25</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银行存款20250208</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101,644,084.06</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rPr>
          <w:rFonts w:ascii="楷体" w:eastAsia="楷体" w:hAnsi="楷体" w:hint="eastAsia"/>
        </w:rPr>
      </w:pPr>
    </w:p>
    <w:p>
      <w:pPr>
        <w:rPr>
          <w:rFonts w:ascii="楷体" w:eastAsia="楷体" w:hAnsi="楷体"/>
          <w:sz w:val="21"/>
          <w:szCs w:val="21"/>
        </w:rPr>
      </w:pPr>
      <w:r>
        <w:rPr>
          <w:rFonts w:ascii="楷体" w:eastAsia="楷体" w:hAnsi="楷体" w:hint="eastAsia"/>
          <w:sz w:val="21"/>
          <w:szCs w:val="21"/>
        </w:rPr>
        <w:t xml:space="preserve">（四）期末理财产品前十名投资者持有情况</w:t>
      </w:r>
    </w:p>
    <w:tbl>
      <w:tblPr>
        <w:tblStyle w:val="TableGrid"/>
        <w:tblW w:w="863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611"/>
        <w:gridCol w:w="1815"/>
        <w:gridCol w:w="3510"/>
        <w:gridCol w:w="1695"/>
      </w:tblGrid>
      <w:tr>
        <w:tblPrEx>
          <w:tblW w:w="863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611"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181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投资者类别</w:t>
            </w:r>
          </w:p>
        </w:tc>
        <w:tc>
          <w:tcPr>
            <w:tcW w:w="3510"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期末持有份额</w:t>
            </w:r>
          </w:p>
        </w:tc>
        <w:tc>
          <w:tcPr>
            <w:tcW w:w="169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份额占比</w:t>
            </w:r>
          </w:p>
        </w:tc>
      </w:tr>
      <w:tr>
        <w:tblPrEx>
          <w:tblW w:w="863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611"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181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机构</w:t>
            </w:r>
          </w:p>
        </w:tc>
        <w:tc>
          <w:tcPr>
            <w:tcW w:w="3510"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142,525,438.72</w:t>
            </w:r>
          </w:p>
        </w:tc>
        <w:tc>
          <w:tcPr>
            <w:tcW w:w="169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1.85%</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个人</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40,009,910.15</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个人</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37,000,983.08</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0.48%</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30,002,757.88</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0.39%</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26,005,387.14</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0.34%</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25,092,595.88</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0.33%</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个人</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25,001,228.84</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0.33%</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22,314,773.07</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0.29%</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21,012,100.50</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0.27%</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个人</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20,798,674.90</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0.27%</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江苏省国际信托有限责任公司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1,178,700,000.00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27,500,000.00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3,489,480.33</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3,503,618,054.52</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812,836.76</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590.61</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中信百信银行股份有限公司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424.76</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139,629.51</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2,244,730.02</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w:t>
      </w:r>
      <w:r>
        <w:rPr>
          <w:rFonts w:ascii="楷体" w:eastAsia="楷体" w:hAnsi="楷体" w:cs="楷体" w:hint="eastAsia"/>
          <w:sz w:val="22"/>
          <w:szCs w:val="24"/>
          <w:lang w:eastAsia="zh-CN"/>
        </w:rPr>
        <w:t xml:space="preserve">六</w:t>
      </w:r>
      <w:r>
        <w:rPr>
          <w:rFonts w:ascii="楷体" w:eastAsia="楷体" w:hAnsi="楷体" w:cs="楷体" w:hint="eastAsia"/>
          <w:sz w:val="22"/>
          <w:szCs w:val="24"/>
        </w:rPr>
        <w:t xml:space="preserve">）自有资金投资情况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w:t>
      </w:r>
      <w:r>
        <w:rPr>
          <w:rFonts w:ascii="楷体" w:eastAsia="楷体" w:hAnsi="楷体" w:cs="楷体" w:hint="eastAsia"/>
          <w:sz w:val="22"/>
          <w:szCs w:val="24"/>
          <w:lang w:eastAsia="zh-CN"/>
        </w:rPr>
        <w:t xml:space="preserve">七</w:t>
      </w:r>
      <w:r>
        <w:rPr>
          <w:rFonts w:ascii="楷体" w:eastAsia="楷体" w:hAnsi="楷体" w:cs="楷体" w:hint="eastAsia"/>
          <w:sz w:val="22"/>
          <w:szCs w:val="24"/>
        </w:rPr>
        <w:t xml:space="preserve">）理财产品份额变动情况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7,691,358,558.09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7,645,078,316.78</w:t>
            </w:r>
          </w:p>
        </w:tc>
      </w:tr>
    </w:tbl>
    <w:p>
      <w:pPr>
        <w:pStyle w:val="Heading3"/>
        <w:ind w:left="0" w:firstLine="0" w:leftChars="0" w:firstLineChars="0"/>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2025年在党中央的坚强领导下，面对复杂严峻的国内外形势和诸多风险挑战，各地区各部门深入贯彻党中央、国务院的决策部署，坚持稳中求进工作总基调，宏观稳经济政策协同发力、精准施策，经济运行总体平稳、稳中有进，高质量发展取得新成效，全年经济社会发展主要目标顺利实现。</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2025年中国经济展现出强大韧性和巨大潜力，全年实际GDP同比增长5.0%，符合年初预期目标。分季度看，经济呈现"前高后低"走势，一季度GDP同比增长5.4%超预期开局，二季度增长5.2%保持稳健，三季度增长4.8%有所回落，四季度增速继续放缓但仍维持合理区间。全年全国固定资产投资（不含农户）约48.5万亿元，社会消费品零售总额约50.1万亿元，进出口总额约45.5万亿元，工业增加值保持稳定增长。投资端受房地产开发投资持续回落拖累表现偏弱，消费端在以旧换新等政策提振下逐步改善，出口在外部关税扰动下保持韧性。物价水平全年低位运行，内需不足仍是主要挑战，但产业结构持续优化，高质量发展扎实推进。</w:t>
      </w:r>
      <w:r>
        <w:rPr>
          <w:rFonts w:ascii="楷体" w:eastAsia="楷体" w:hAnsi="楷体" w:cs="楷体" w:hint="eastAsia"/>
          <w:spacing w:val="8"/>
          <w:sz w:val="21"/>
        </w:rPr>
        <w:br/>
      </w:r>
      <w:r>
        <w:rPr>
          <w:rFonts w:ascii="楷体" w:eastAsia="楷体" w:hAnsi="楷体" w:cs="楷体" w:hint="eastAsia"/>
          <w:spacing w:val="8"/>
          <w:sz w:val="21"/>
        </w:rPr>
        <w:t xml:space="preserve">　　债券市场方面，2025年债市整体呈现"先上后下、震荡走弱"的特征，收益率中枢较年初明显上移，期限利差走阔。一季度债市经历剧烈调整，10年期国债收益率从年初1.6%附近快速上行至1.90%后回落至1.81%；二季度在资金面宽松、外部关税扰动及配置力量推动下，债市震荡下行，表现好于一季度；三季度债市震荡走弱，走出"熊陡"行情，10年期国债收益率由季初1.65%一度上行至1.83%；四季度债市弱势震荡，一致预期强化，十年国债利率一度触及1.85%高点。全年来看，央行货币政策在"稳汇率、防风险、促增长"之间灵活平衡，流动性管理前紧后松，MLF操作由收缩转为净投放，公开市场国债买卖重启，资金利率整体保持平稳。外部关税博弈、股债跷跷板效应、机构配置行为及供给冲击成为全年影响债市的重要变量。</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全面管控。全年资产配置策略以稳健为基调，主要集中于银行存款、回购、同业存单、利率债及证券公司债等低风险资产，结合适度的杠杆运用和梯形策略，确保在不同资产类别和期限之间实现合理均衡。一季度在利率偏高区间加大配置，储备高收益长期存款类资产；二季度至四季度根据市场流动性环境和负债端情况灵活调整，季末适时提高高价存款和回购配置比例，控制资产稀释速度，择机配置高收益资产支持证券和资管计划。通过积极的杠杆策略和交易策略，管理人在复杂市场环境下成功获取超额收益，有效提升产品静态收益，为投资者提供了相对稳定的回报，确保了现金管理类产品全年稳健运行，帮助投资者应对市场不确定性，实现了安全性、流动性和收益性的平衡。</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一季度，政策前置发力的预期较高，通胀回升将修复名义GDP，外部环境短暂缓和，对债市偏利空。货币政策预计将维持适度宽松，但降准降息等总量工具的使用将更为审慎，结构性工具为主导。风险偏好上，2025年12月下旬以来“春季行情”的预期持续升温，市场情绪高涨，今年一季度股市预计将延续偏强走势，对债市形成压制。整体来看，债市一季度预计延续偏弱运行，趋势性行情仍需等待更明确的宏观信号，配置上一季度重在防御，择机适当布局。</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pacing w:val="9"/>
          <w:sz w:val="21"/>
        </w:rPr>
      </w:pPr>
      <w:r>
        <w:rPr>
          <w:rFonts w:ascii="楷体" w:eastAsia="楷体" w:hAnsi="楷体" w:cs="楷体" w:hint="eastAsia"/>
          <w:spacing w:val="9"/>
          <w:sz w:val="21"/>
        </w:rPr>
        <w:t xml:space="preserve">　　2025年，市场流动性整体宽松，本产品在投资高流动性的利率债和AAA存单以外，动态调整产品杠杆率，充分做好资金准备，平稳度过各关键时点，充分满足了产品的流动性需求，保障了投资者的赎回需求。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展望后市，本产品将继续重点投资信用等级较高、流动性较好的各类标的，做好资金安排和流动性预判，充分满足产品流动性需求。</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ind w:firstLine="420" w:firstLineChars="200"/>
        <w:rPr>
          <w:rFonts w:ascii="楷体" w:eastAsia="楷体" w:hAnsi="楷体" w:hint="eastAsia"/>
          <w:bCs/>
          <w:kern w:val="0"/>
          <w:szCs w:val="21"/>
        </w:rPr>
      </w:pPr>
      <w:bookmarkStart w:id="1" w:name="_GoBack"/>
      <w:bookmarkEnd w:id="1"/>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0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0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0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1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9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2026-03-23T02:30:27Z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Office_11.8.2.11734_F1E327BC-269C-435d-A152-05C5408002CA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29</cp:revision>
  <dcterms:created xsi:type="dcterms:W3CDTF">2021-11-18T10:04:00Z</dcterms:created>
  <dcterms:modified xsi:type="dcterms:W3CDTF">2026-04-13T08:14:08Z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