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产品登记编码：Z7001625000980</w:t>
      </w:r>
    </w:p>
    <w:p>
      <w:pPr>
        <w:spacing w:before="0" w:after="0" w:line="300" w:lineRule="auto"/>
        <w:ind w:left="0" w:right="0" w:firstLine="0"/>
        <w:jc w:val="center"/>
        <w:outlineLvl w:val="9"/>
      </w:pPr>
      <w:r>
        <w:rPr>
          <w:rFonts w:ascii="宋体" w:hAnsi="宋体" w:eastAsia="宋体" w:cs="宋体"/>
          <w:b/>
          <w:sz w:val="22"/>
          <w:u w:val="none"/>
        </w:rPr>
        <w:t>招银理财招睿添金14天持有期6号固定收益类理财计划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（产品代码：120026）</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w:t>
      </w:r>
      <w:r>
        <w:rPr>
          <w:rFonts w:hint="eastAsia" w:ascii="宋体" w:hAnsi="宋体" w:eastAsia="宋体" w:cs="宋体"/>
          <w:b/>
          <w:sz w:val="22"/>
          <w:lang w:eastAsia="zh-CN"/>
        </w:rPr>
        <w:t>本产品风险评级可能进行调整，如有变动，将及时向投资者披露。</w:t>
      </w:r>
      <w:r>
        <w:rPr>
          <w:rFonts w:ascii="宋体" w:hAnsi="宋体" w:eastAsia="宋体" w:cs="宋体"/>
          <w:b/>
          <w:sz w:val="22"/>
          <w:u w:val="none"/>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指《招银理财招睿添金14天持有期6号固定收益类理财计划产品说明书》，以及对该文件的有效修改或补充。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指作为招银理财招睿添金14天持有期6号固定收益类理财计划销售文件不可分割组成部分的风险揭示书，以及对该文件的有效修改或补充。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指由投资者和管理人签署的，作为招银理财招睿添金14天持有期6号固定收益类理财计划销售文件不可分割组成部分的《理财产品投资协议书》，以及对该文件的有效修改或补充。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指由投资者和销售服务机构签署的，作为招银理财招睿添金14天持有期6号固定收益类理财计划销售文件不可分割组成部分的《销售（代理销售）协议书》，以及对该文件的有效修改或补充。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指招银理财招睿添金14天持有期6号固定收益类理财计划。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14个自然日的最短持有期限，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r>
        <w:rPr>
          <w:rFonts w:hint="eastAsia" w:ascii="宋体" w:hAnsi="宋体" w:eastAsia="宋体" w:cs="宋体"/>
          <w:sz w:val="22"/>
          <w:lang w:eastAsia="zh-CN"/>
        </w:rPr>
        <w:t>。</w:t>
      </w:r>
      <w:r>
        <w:rPr>
          <w:rFonts w:hint="eastAsia" w:ascii="宋体" w:hAnsi="宋体" w:eastAsia="宋体" w:cs="宋体"/>
          <w:b w:val="0"/>
          <w:sz w:val="22"/>
          <w:lang w:eastAsia="zh-CN"/>
        </w:rPr>
        <w:t>管理人可对产品风险评级进行动态管理。</w:t>
      </w:r>
      <w:r>
        <w:rPr>
          <w:rFonts w:ascii="宋体" w:hAnsi="宋体" w:eastAsia="宋体" w:cs="宋体"/>
          <w:sz w:val="22"/>
          <w:u w:val="none"/>
        </w:rPr>
        <w:t>）</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招银理财招睿添金14天持有期6号固定收益类理财计划（产品代码：120026）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产品登记编码：Z7001625000980，投资者可以根据该登记编码在中国理财网（网址：https://www.chinawealth.com.cn/）查询产品信息。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A份额（销售代码【120026A】，销售简称【招银理财招睿添金（和享）14天持有期6A】）：招商银行个人投资者和机构投资者（仅指作为产品管理人代表其管理的家族信托、公益/慈善信托）</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份额（销售代码【</w:t>
            </w:r>
            <w:r>
              <w:rPr>
                <w:rFonts w:hint="eastAsia" w:ascii="宋体" w:hAnsi="宋体" w:eastAsia="宋体" w:cs="宋体"/>
                <w:sz w:val="22"/>
                <w:u w:val="none"/>
              </w:rPr>
              <w:t>120026P</w:t>
            </w:r>
            <w:r>
              <w:rPr>
                <w:rFonts w:ascii="宋体" w:hAnsi="宋体" w:eastAsia="宋体" w:cs="宋体"/>
                <w:sz w:val="22"/>
                <w:u w:val="none"/>
              </w:rPr>
              <w:t>】）：</w:t>
            </w:r>
            <w:r>
              <w:rPr>
                <w:rFonts w:hint="eastAsia" w:ascii="宋体" w:hAnsi="宋体" w:eastAsia="宋体" w:cs="宋体"/>
                <w:sz w:val="22"/>
                <w:u w:val="none"/>
                <w:lang w:val="en-US" w:eastAsia="zh-CN"/>
              </w:rPr>
              <w:t>非</w:t>
            </w:r>
            <w:r>
              <w:rPr>
                <w:rFonts w:ascii="宋体" w:hAnsi="宋体" w:eastAsia="宋体" w:cs="宋体"/>
                <w:sz w:val="22"/>
                <w:u w:val="none"/>
              </w:rPr>
              <w:t>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份额：发行规模上限100亿元。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w:t>
            </w:r>
            <w:r>
              <w:rPr>
                <w:rFonts w:hint="eastAsia" w:ascii="宋体" w:hAnsi="宋体" w:eastAsia="宋体" w:cs="宋体"/>
                <w:sz w:val="22"/>
                <w:u w:val="none"/>
                <w:lang w:val="en-US" w:eastAsia="zh-CN"/>
              </w:rPr>
              <w:t>2</w:t>
            </w:r>
            <w:r>
              <w:rPr>
                <w:rFonts w:ascii="宋体" w:hAnsi="宋体" w:eastAsia="宋体" w:cs="宋体"/>
                <w:sz w:val="22"/>
                <w:u w:val="none"/>
              </w:rPr>
              <w:t>00亿元。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hAnsi="宋体" w:eastAsia="宋体" w:cs="宋体"/>
                <w:b/>
                <w:sz w:val="22"/>
                <w:u w:val="none"/>
              </w:rPr>
              <w:t>50%×中国人民银行公布的活期存款利率+50%×中债0-3个月国债财富（总值）指数</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CBA07301.CS）</w:t>
            </w:r>
            <w:r>
              <w:rPr>
                <w:rFonts w:ascii="宋体" w:hAnsi="宋体" w:eastAsia="宋体" w:cs="宋体"/>
                <w:b/>
                <w:sz w:val="22"/>
                <w:u w:val="none"/>
              </w:rPr>
              <w:t>收益率</w:t>
            </w:r>
          </w:p>
          <w:p>
            <w:pPr>
              <w:spacing w:before="0" w:after="0" w:line="300" w:lineRule="auto"/>
              <w:ind w:left="0" w:right="0" w:firstLine="0"/>
              <w:jc w:val="both"/>
              <w:outlineLvl w:val="9"/>
            </w:pPr>
            <w:r>
              <w:rPr>
                <w:rFonts w:ascii="宋体" w:hAnsi="宋体" w:eastAsia="宋体" w:cs="宋体"/>
                <w:sz w:val="22"/>
                <w:u w:val="none"/>
              </w:rPr>
              <w:t>作为本产品的业绩比较基准。</w:t>
            </w: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份额：认购起点为</w:t>
            </w:r>
            <w:r>
              <w:rPr>
                <w:rFonts w:hint="eastAsia" w:ascii="宋体" w:hAnsi="宋体" w:eastAsia="宋体" w:cs="宋体"/>
                <w:sz w:val="22"/>
                <w:u w:val="none"/>
                <w:lang w:val="en-US" w:eastAsia="zh-CN"/>
              </w:rPr>
              <w:t>0.0</w:t>
            </w:r>
            <w:r>
              <w:rPr>
                <w:rFonts w:ascii="宋体" w:hAnsi="宋体" w:eastAsia="宋体" w:cs="宋体"/>
                <w:sz w:val="22"/>
                <w:u w:val="none"/>
              </w:rPr>
              <w:t>1元；超出认购起点部分，须为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pPr>
            <w:r>
              <w:rPr>
                <w:rFonts w:ascii="宋体" w:hAnsi="宋体" w:eastAsia="宋体" w:cs="宋体"/>
                <w:b/>
                <w:sz w:val="22"/>
                <w:u w:val="none"/>
              </w:rPr>
              <w:t>销售服务机构的实际认购起点可能与说明书不一致，具体以销售服务机构通知为准。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pPr>
            <w:r>
              <w:rPr>
                <w:rFonts w:ascii="宋体" w:hAnsi="宋体" w:eastAsia="宋体" w:cs="宋体"/>
                <w:b/>
                <w:sz w:val="22"/>
                <w:u w:val="none"/>
              </w:rPr>
              <w:t>销售服务机构的实际申购起点可能与说明书不一致，具体以销售服务机构通知为准。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A份额：投资者单笔认购/申购上限为5000万元和本理财计划A份额规模上限的二者的较小值。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份额：投资者单笔认购/申购上限为5000万元和本理财计划</w:t>
            </w:r>
            <w:r>
              <w:rPr>
                <w:rFonts w:hint="eastAsia" w:ascii="宋体" w:hAnsi="宋体" w:eastAsia="宋体" w:cs="宋体"/>
                <w:sz w:val="22"/>
                <w:u w:val="none"/>
              </w:rPr>
              <w:t>P</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A份额单一投资者购买本理财计划，其持有上限为5000万元和A份额规模上限的较小值。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份额单一投资者购买本理财计划，其持有上限为5000万元和</w:t>
            </w:r>
            <w:r>
              <w:rPr>
                <w:rFonts w:hint="eastAsia" w:ascii="宋体" w:hAnsi="宋体" w:eastAsia="宋体" w:cs="宋体"/>
                <w:sz w:val="22"/>
                <w:u w:val="none"/>
              </w:rPr>
              <w:t>P</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25日09:00到2025年09月25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理财计划预计存续期为30年，预计到期日为2055年09月26日(如遇非交易日顺延至下一个交易日)。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约定的方式通知投资者，本《产品说明书》另有约定的除外。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本理财计划存续期间，每个交易日、理财计划收益分配基准日、除息日以及理财计划终止日为估值日，如估值日为非交易日，则估值日顺延至下一个交易日。管理人于估值日后1个交易日内披露理财产品的估值。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销售服务费：销售服务机构收取理财计划A份额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P</w:t>
            </w:r>
            <w:r>
              <w:rPr>
                <w:rFonts w:ascii="宋体" w:hAnsi="宋体" w:eastAsia="宋体" w:cs="宋体"/>
                <w:b/>
                <w:sz w:val="22"/>
                <w:u w:val="none"/>
              </w:rPr>
              <w:t>份额销售服务费，A份额销售服务费率0.20%/年，</w:t>
            </w:r>
            <w:r>
              <w:rPr>
                <w:rFonts w:hint="eastAsia" w:ascii="宋体" w:hAnsi="宋体" w:eastAsia="宋体" w:cs="宋体"/>
                <w:b/>
                <w:sz w:val="22"/>
                <w:u w:val="none"/>
                <w:lang w:val="en-US" w:eastAsia="zh-CN"/>
              </w:rPr>
              <w:t>P</w:t>
            </w:r>
            <w:r>
              <w:rPr>
                <w:rFonts w:ascii="宋体" w:hAnsi="宋体" w:eastAsia="宋体" w:cs="宋体"/>
                <w:b/>
                <w:sz w:val="22"/>
                <w:u w:val="none"/>
              </w:rPr>
              <w:t>份额销售服务费率0.20%/年，销售服务费精确到小数点后2位，小数点2位以后舍位。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份额：本理财计划</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A份额：投资者赎回本理财计划A份额无需支付赎回费。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P</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w:t>
      </w:r>
      <w:r>
        <w:rPr>
          <w:rFonts w:ascii="宋体" w:hAnsi="宋体" w:eastAsia="宋体" w:cs="宋体"/>
          <w:sz w:val="22"/>
          <w:szCs w:val="22"/>
          <w:u w:val="none"/>
        </w:rPr>
        <w:t>招商银行</w:t>
      </w:r>
      <w:r>
        <w:rPr>
          <w:rFonts w:hint="eastAsia" w:ascii="宋体" w:hAnsi="宋体" w:eastAsia="宋体" w:cs="宋体"/>
          <w:sz w:val="22"/>
          <w:szCs w:val="22"/>
          <w:u w:val="none"/>
          <w:lang w:eastAsia="zh-CN"/>
        </w:rPr>
        <w:t>、余杭农商行、</w:t>
      </w:r>
      <w:r>
        <w:rPr>
          <w:rFonts w:hint="eastAsia"/>
          <w:sz w:val="22"/>
          <w:szCs w:val="22"/>
        </w:rPr>
        <w:t>浦发银行</w:t>
      </w:r>
      <w:r>
        <w:rPr>
          <w:rFonts w:hint="eastAsia" w:eastAsia="宋体"/>
          <w:sz w:val="22"/>
          <w:szCs w:val="22"/>
          <w:lang w:eastAsia="zh-CN"/>
        </w:rPr>
        <w:t>、</w:t>
      </w:r>
      <w:r>
        <w:rPr>
          <w:rFonts w:hint="eastAsia"/>
          <w:sz w:val="22"/>
          <w:szCs w:val="22"/>
        </w:rPr>
        <w:t>厦门国际银行</w:t>
      </w:r>
      <w:r>
        <w:rPr>
          <w:rFonts w:hint="eastAsia" w:eastAsia="宋体"/>
          <w:sz w:val="22"/>
          <w:szCs w:val="22"/>
          <w:lang w:eastAsia="zh-CN"/>
        </w:rPr>
        <w:t>、</w:t>
      </w:r>
      <w:r>
        <w:rPr>
          <w:rFonts w:hint="eastAsia" w:ascii="宋体" w:hAnsi="宋体" w:eastAsia="宋体" w:cs="宋体"/>
          <w:sz w:val="22"/>
          <w:szCs w:val="22"/>
        </w:rPr>
        <w:t>浙江德清农商</w:t>
      </w:r>
      <w:r>
        <w:rPr>
          <w:rFonts w:hint="eastAsia" w:ascii="宋体" w:hAnsi="宋体" w:eastAsia="宋体" w:cs="宋体"/>
          <w:sz w:val="22"/>
          <w:szCs w:val="22"/>
          <w:lang w:val="en-US" w:eastAsia="zh-CN"/>
        </w:rPr>
        <w:t>行、</w:t>
      </w:r>
      <w:r>
        <w:rPr>
          <w:rFonts w:hint="eastAsia" w:ascii="宋体" w:hAnsi="宋体" w:eastAsia="宋体" w:cs="宋体"/>
          <w:sz w:val="22"/>
          <w:szCs w:val="22"/>
        </w:rPr>
        <w:t>宁波余姚农商</w:t>
      </w:r>
      <w:r>
        <w:rPr>
          <w:rFonts w:hint="eastAsia" w:ascii="宋体" w:hAnsi="宋体" w:eastAsia="宋体" w:cs="宋体"/>
          <w:sz w:val="22"/>
          <w:szCs w:val="22"/>
          <w:lang w:val="en-US" w:eastAsia="zh-CN"/>
        </w:rPr>
        <w:t>行、华夏银行</w:t>
      </w:r>
      <w:bookmarkStart w:id="0" w:name="_GoBack"/>
      <w:r>
        <w:rPr>
          <w:rFonts w:hint="eastAsia" w:ascii="宋体" w:hAnsi="宋体" w:eastAsia="宋体" w:cs="宋体"/>
          <w:sz w:val="22"/>
          <w:szCs w:val="22"/>
          <w:lang w:val="en-US" w:eastAsia="zh-CN"/>
        </w:rPr>
        <w:t>、浙江南浔农商行</w:t>
      </w:r>
      <w:bookmarkEnd w:id="0"/>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537"/>
        <w:gridCol w:w="4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ascii="宋体" w:hAnsi="宋体" w:eastAsia="宋体" w:cs="宋体"/>
                <w:sz w:val="22"/>
              </w:rPr>
              <w:t>招商银行股份有限公司</w:t>
            </w:r>
          </w:p>
        </w:tc>
        <w:tc>
          <w:tcPr>
            <w:tcW w:w="1537" w:type="dxa"/>
            <w:vAlign w:val="center"/>
          </w:tcPr>
          <w:p>
            <w:r>
              <w:rPr>
                <w:rFonts w:ascii="宋体" w:hAnsi="宋体" w:eastAsia="宋体" w:cs="宋体"/>
                <w:sz w:val="22"/>
              </w:rPr>
              <w:t>住所</w:t>
            </w:r>
          </w:p>
        </w:tc>
        <w:tc>
          <w:tcPr>
            <w:tcW w:w="4529"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r>
              <w:rPr>
                <w:rFonts w:ascii="宋体" w:hAnsi="宋体" w:eastAsia="宋体" w:cs="宋体"/>
                <w:sz w:val="22"/>
              </w:rPr>
              <w:t>客户服务热线</w:t>
            </w:r>
          </w:p>
        </w:tc>
        <w:tc>
          <w:tcPr>
            <w:tcW w:w="4529"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424" w:type="dxa"/>
            <w:vMerge w:val="restart"/>
            <w:vAlign w:val="center"/>
          </w:tcPr>
          <w:p>
            <w:pPr>
              <w:jc w:val="center"/>
            </w:pPr>
            <w:r>
              <w:rPr>
                <w:rFonts w:hint="default" w:ascii="宋体" w:hAnsi="宋体" w:eastAsia="宋体" w:cs="宋体"/>
                <w:sz w:val="22"/>
              </w:rPr>
              <w:t>浙江杭州余杭农村商业银行股份有限公司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ascii="宋体" w:hAnsi="宋体" w:eastAsia="宋体" w:cs="宋体"/>
                <w:sz w:val="22"/>
              </w:rPr>
            </w:pPr>
            <w:r>
              <w:rPr>
                <w:rFonts w:hint="eastAsia" w:ascii="宋体" w:hAnsi="宋体" w:eastAsia="宋体" w:cs="宋体"/>
                <w:sz w:val="22"/>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24" w:type="dxa"/>
            <w:vMerge w:val="restart"/>
            <w:vAlign w:val="center"/>
          </w:tcPr>
          <w:p>
            <w:pPr>
              <w:jc w:val="center"/>
            </w:pPr>
            <w:r>
              <w:rPr>
                <w:rFonts w:hint="default" w:ascii="宋体" w:hAnsi="宋体" w:eastAsia="宋体" w:cs="宋体"/>
                <w:sz w:val="22"/>
              </w:rPr>
              <w:t>上海浦东发展银行股份有限公司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厦门国际银行股份有限公司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浙江德清农村商业银行股份有限公司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宁波余姚农村商业银行股份有限公司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宁波余姚市新建路69号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0574-62628888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sz w:val="22"/>
                <w:szCs w:val="22"/>
              </w:rPr>
            </w:pPr>
            <w:r>
              <w:rPr>
                <w:rFonts w:hint="eastAsia" w:ascii="宋体" w:hAnsi="宋体" w:eastAsia="宋体" w:cs="宋体"/>
                <w:sz w:val="22"/>
                <w:szCs w:val="22"/>
              </w:rPr>
              <w:t>华夏银行股份有限公司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北京市东城区建国门内大街22号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浙江南浔农村商业银行股份有限公司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96596</w:t>
            </w:r>
          </w:p>
        </w:tc>
      </w:tr>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发行规模下限为5000万元，如认购金额不足5000万元，管理人有权宣布理财计划不成立。A份额产品规模上限为100亿元。</w:t>
      </w:r>
      <w:r>
        <w:rPr>
          <w:rFonts w:hint="eastAsia" w:ascii="宋体" w:hAnsi="宋体" w:eastAsia="宋体" w:cs="宋体"/>
          <w:sz w:val="22"/>
          <w:u w:val="none"/>
          <w:lang w:val="en-US" w:eastAsia="zh-CN"/>
        </w:rPr>
        <w:t>P</w:t>
      </w:r>
      <w:r>
        <w:rPr>
          <w:rFonts w:ascii="宋体" w:hAnsi="宋体" w:eastAsia="宋体" w:cs="宋体"/>
          <w:sz w:val="22"/>
          <w:u w:val="none"/>
        </w:rPr>
        <w:t>份额产品规模上限为100亿元。产品规模上限为</w:t>
      </w:r>
      <w:r>
        <w:rPr>
          <w:rFonts w:hint="eastAsia" w:ascii="宋体" w:hAnsi="宋体" w:eastAsia="宋体" w:cs="宋体"/>
          <w:sz w:val="22"/>
          <w:u w:val="none"/>
          <w:lang w:val="en-US" w:eastAsia="zh-CN"/>
        </w:rPr>
        <w:t>2</w:t>
      </w:r>
      <w:r>
        <w:rPr>
          <w:rFonts w:ascii="宋体" w:hAnsi="宋体" w:eastAsia="宋体" w:cs="宋体"/>
          <w:sz w:val="22"/>
          <w:u w:val="none"/>
        </w:rPr>
        <w:t>00亿元，认购期届满前，如产品发行规模达到相应份额的规模上限，销售服务机构有权停止接收该份额的认购申请。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2025年09月25日09:00至2025年09月25日17:00。自认购之日（含）起，至认购登记日（不含）止，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本理财计划于2025年09月26日(如遇非交易日顺延至下一个交易日)进行认购登记。如产品认购期延长或提前终止，实际认购登记日以管理人公告为准。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份额投资者首次认购单笔最低限额为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1元，高于认购单笔最低限额的金额须为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份额投资者单笔认购上限为5000万元和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单一投资者认购或申购（如有）本理财计划，A份额投资者持有上限为5000万元和本理财计划A份额规模上限中二者的较小值，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份额投资者持有上限为5000万元和本理财计划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w:t>
      </w:r>
      <w:r>
        <w:rPr>
          <w:rFonts w:hint="eastAsia" w:ascii="宋体" w:hAnsi="宋体" w:eastAsia="宋体" w:cs="宋体"/>
          <w:sz w:val="22"/>
          <w:u w:val="none"/>
          <w:lang w:val="en-US" w:eastAsia="zh-CN"/>
        </w:rPr>
        <w:t>P</w:t>
      </w:r>
      <w:r>
        <w:rPr>
          <w:rFonts w:ascii="宋体" w:hAnsi="宋体" w:eastAsia="宋体" w:cs="宋体"/>
          <w:sz w:val="22"/>
          <w:u w:val="none"/>
        </w:rPr>
        <w:t>份额投资者部分撤销后剩余的各笔认购金额总和不得低于</w:t>
      </w:r>
      <w:r>
        <w:rPr>
          <w:rFonts w:hint="eastAsia" w:ascii="宋体" w:hAnsi="宋体" w:eastAsia="宋体" w:cs="宋体"/>
          <w:sz w:val="22"/>
          <w:u w:val="none"/>
          <w:lang w:val="en-US" w:eastAsia="zh-CN"/>
        </w:rPr>
        <w:t>0.0</w:t>
      </w:r>
      <w:r>
        <w:rPr>
          <w:rFonts w:ascii="宋体" w:hAnsi="宋体" w:eastAsia="宋体" w:cs="宋体"/>
          <w:sz w:val="22"/>
          <w:u w:val="none"/>
        </w:rPr>
        <w:t>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投资者认购本理财计划A份额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最短持有期：本理财计划对投资者的每笔有效认/申购份额设置14个自然日的最短持有期限，</w:t>
      </w:r>
      <w:r>
        <w:rPr>
          <w:rFonts w:ascii="宋体" w:hAnsi="宋体" w:eastAsia="宋体" w:cs="宋体"/>
          <w:sz w:val="22"/>
          <w:u w:val="none"/>
        </w:rPr>
        <w:t>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份额投资者单笔申购上限为5000万元和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份额投资者如需再行申购，则申购最低金额为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投资者有权部分或全部赎回理财计划份额。如赎回将导致单个A份额投资者的理财计划份额余额不足0.01份时，如赎回将导致单个</w:t>
      </w:r>
      <w:r>
        <w:rPr>
          <w:rFonts w:hint="eastAsia" w:ascii="宋体" w:hAnsi="宋体" w:eastAsia="宋体" w:cs="宋体"/>
          <w:sz w:val="22"/>
          <w:u w:val="none"/>
          <w:lang w:val="en-US" w:eastAsia="zh-CN"/>
        </w:rPr>
        <w:t>P</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pPr>
      <w:r>
        <w:rPr>
          <w:rFonts w:ascii="宋体" w:hAnsi="宋体" w:eastAsia="宋体" w:cs="宋体"/>
          <w:sz w:val="22"/>
          <w:u w:val="none"/>
        </w:rPr>
        <w:t>因战争、自然灾害、系统故障等不可抗力导致理财计划无法正常运作。</w:t>
      </w:r>
    </w:p>
    <w:p>
      <w:pPr>
        <w:numPr>
          <w:ilvl w:val="0"/>
          <w:numId w:val="22"/>
        </w:numPr>
        <w:spacing w:before="0" w:after="0" w:line="300" w:lineRule="auto"/>
        <w:ind w:left="0" w:right="0" w:firstLine="0"/>
        <w:jc w:val="both"/>
        <w:outlineLvl w:val="9"/>
      </w:pPr>
      <w:r>
        <w:rPr>
          <w:rFonts w:ascii="宋体" w:hAnsi="宋体" w:eastAsia="宋体" w:cs="宋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pPr>
      <w:r>
        <w:rPr>
          <w:rFonts w:ascii="宋体" w:hAnsi="宋体" w:eastAsia="宋体" w:cs="宋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pPr>
      <w:r>
        <w:rPr>
          <w:rFonts w:ascii="宋体" w:hAnsi="宋体" w:eastAsia="宋体" w:cs="宋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pPr>
      <w:r>
        <w:rPr>
          <w:rFonts w:ascii="宋体" w:hAnsi="宋体" w:eastAsia="宋体" w:cs="宋体"/>
          <w:sz w:val="22"/>
          <w:u w:val="none"/>
        </w:rPr>
        <w:t>本产品说明书规定的其他情形。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3"/>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估值错误的处理</w:t>
      </w:r>
    </w:p>
    <w:p>
      <w:pPr>
        <w:numPr>
          <w:ilvl w:val="0"/>
          <w:numId w:val="24"/>
        </w:numPr>
        <w:spacing w:before="0" w:after="0" w:line="300" w:lineRule="auto"/>
        <w:ind w:left="0" w:right="0" w:firstLine="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5"/>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09月26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A份额每个自然日计提的销售服务费=上一自然日理财计划A份额净资产×0.20%÷365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P</w:t>
      </w:r>
      <w:r>
        <w:rPr>
          <w:rFonts w:ascii="宋体" w:hAnsi="宋体" w:eastAsia="宋体" w:cs="宋体"/>
          <w:b/>
          <w:sz w:val="22"/>
          <w:u w:val="none"/>
        </w:rPr>
        <w:t>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P</w:t>
      </w:r>
      <w:r>
        <w:rPr>
          <w:rFonts w:ascii="宋体" w:hAnsi="宋体" w:eastAsia="宋体" w:cs="宋体"/>
          <w:b/>
          <w:sz w:val="22"/>
          <w:u w:val="none"/>
        </w:rPr>
        <w:t>份额净资产×0.20%÷365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8"/>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31"/>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30"/>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32"/>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pPr>
      <w:r>
        <w:rPr>
          <w:rFonts w:ascii="宋体" w:hAnsi="宋体" w:eastAsia="宋体" w:cs="宋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C6AAE"/>
    <w:rsid w:val="0D426DBE"/>
    <w:rsid w:val="15D74687"/>
    <w:rsid w:val="1B146520"/>
    <w:rsid w:val="27E337C8"/>
    <w:rsid w:val="2D946260"/>
    <w:rsid w:val="2EBF2512"/>
    <w:rsid w:val="4FF13494"/>
    <w:rsid w:val="5766618C"/>
    <w:rsid w:val="628A270F"/>
    <w:rsid w:val="6BE56D64"/>
    <w:rsid w:val="767A6A3C"/>
    <w:rsid w:val="78777EE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TotalTime>2</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2025-09-24T09:03:00Z</dcterms:created>
  <dc:creator>80324358</dc:creator>
  <cp:lastModifiedBy>80324358</cp:lastModifiedBy>
  <dcterms:modified xsi:type="dcterms:W3CDTF">2026-05-12T08:47:57Z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BC19B8A0110B4C948E7289B1E0D0AD8E</vt:lpwstr>
  </property>
</Properties>
</file>