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产品登记编码：Z7001625000980</w:t>
      </w:r>
    </w:p>
    <w:p>
      <w:pPr>
        <w:spacing w:before="0" w:after="0" w:line="300" w:lineRule="auto"/>
        <w:ind w:left="0" w:right="0" w:firstLine="0"/>
        <w:jc w:val="center"/>
        <w:outlineLvl w:val="9"/>
      </w:pPr>
      <w:r>
        <w:rPr>
          <w:rFonts w:ascii="宋体" w:hAnsi="宋体" w:eastAsia="宋体" w:cs="宋体"/>
          <w:b/>
          <w:sz w:val="22"/>
          <w:u w:val="none"/>
        </w:rPr>
        <w:t>招银理财招睿添金14天持有期6号固定收益类理财计划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（产品代码：120026）</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w:t>
      </w:r>
      <w:r>
        <w:rPr>
          <w:rFonts w:hint="eastAsia" w:ascii="宋体" w:hAnsi="宋体" w:eastAsia="宋体" w:cs="宋体"/>
          <w:b/>
          <w:sz w:val="22"/>
          <w:lang w:eastAsia="zh-CN"/>
        </w:rPr>
        <w:t>本产品风险评级可能进行调整，如有变动，将及时向投资者披露。</w:t>
      </w:r>
      <w:r>
        <w:rPr>
          <w:rFonts w:ascii="宋体" w:hAnsi="宋体" w:eastAsia="宋体" w:cs="宋体"/>
          <w:b/>
          <w:sz w:val="22"/>
          <w:u w:val="none"/>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指《招银理财招睿添金14天持有期6号固定收益类理财计划产品说明书》，以及对该文件的有效修改或补充。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指作为招银理财招睿添金14天持有期6号固定收益类理财计划销售文件不可分割组成部分的风险揭示书，以及对该文件的有效修改或补充。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指由投资者和管理人签署的，作为招银理财招睿添金14天持有期6号固定收益类理财计划销售文件不可分割组成部分的《理财产品投资协议书》，以及对该文件的有效修改或补充。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指由投资者和销售服务机构签署的，作为招银理财招睿添金14天持有期6号固定收益类理财计划销售文件不可分割组成部分的《销售（代理销售）协议书》，以及对该文件的有效修改或补充。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指招银理财招睿添金14天持有期6号固定收益类理财计划。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14个自然日的最短持有期限，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r>
        <w:rPr>
          <w:rFonts w:hint="eastAsia" w:ascii="宋体" w:hAnsi="宋体" w:eastAsia="宋体" w:cs="宋体"/>
          <w:sz w:val="22"/>
          <w:lang w:eastAsia="zh-CN"/>
        </w:rPr>
        <w:t>。</w:t>
      </w:r>
      <w:r>
        <w:rPr>
          <w:rFonts w:hint="eastAsia" w:ascii="宋体" w:hAnsi="宋体" w:eastAsia="宋体" w:cs="宋体"/>
          <w:b w:val="0"/>
          <w:sz w:val="22"/>
          <w:lang w:eastAsia="zh-CN"/>
        </w:rPr>
        <w:t>管理人可对产品风险评级进行动态管理。</w:t>
      </w:r>
      <w:r>
        <w:rPr>
          <w:rFonts w:ascii="宋体" w:hAnsi="宋体" w:eastAsia="宋体" w:cs="宋体"/>
          <w:sz w:val="22"/>
          <w:u w:val="none"/>
        </w:rPr>
        <w:t>）</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招银理财招睿添金14天持有期6号固定收益类理财计划（产品代码：120026）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产品登记编码：Z7001625000980，投资者可以根据该登记编码在中国理财网（网址：https://www.chinawealth.com.cn/）查询产品信息。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A份额（销售代码【120026A】，销售简称【招银理财招睿添金（和享）14天持有期6A】）：招商银行个人投资者和机构投资者（仅指作为产品管理人代表其管理的家族信托、公益/慈善信托）</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份额（销售代码【</w:t>
            </w:r>
            <w:r>
              <w:rPr>
                <w:rFonts w:hint="eastAsia" w:ascii="宋体" w:hAnsi="宋体" w:eastAsia="宋体" w:cs="宋体"/>
                <w:sz w:val="22"/>
                <w:u w:val="none"/>
              </w:rPr>
              <w:t>120026P</w:t>
            </w:r>
            <w:r>
              <w:rPr>
                <w:rFonts w:ascii="宋体" w:hAnsi="宋体" w:eastAsia="宋体" w:cs="宋体"/>
                <w:sz w:val="22"/>
                <w:u w:val="none"/>
              </w:rPr>
              <w:t>】）：</w:t>
            </w:r>
            <w:r>
              <w:rPr>
                <w:rFonts w:hint="eastAsia" w:ascii="宋体" w:hAnsi="宋体" w:eastAsia="宋体" w:cs="宋体"/>
                <w:sz w:val="22"/>
                <w:u w:val="none"/>
                <w:lang w:val="en-US" w:eastAsia="zh-CN"/>
              </w:rPr>
              <w:t>非</w:t>
            </w:r>
            <w:r>
              <w:rPr>
                <w:rFonts w:ascii="宋体" w:hAnsi="宋体" w:eastAsia="宋体" w:cs="宋体"/>
                <w:sz w:val="22"/>
                <w:u w:val="none"/>
              </w:rPr>
              <w:t>招商银行投资者</w:t>
            </w:r>
          </w:p>
          <w:p>
            <w:pPr>
              <w:spacing w:before="0" w:after="0" w:line="300" w:lineRule="auto"/>
              <w:ind w:left="0" w:right="0" w:firstLine="0"/>
              <w:jc w:val="both"/>
              <w:outlineLvl w:val="9"/>
              <w:rPr>
                <w:rFonts w:hint="eastAsia" w:ascii="宋体" w:hAnsi="宋体" w:eastAsia="宋体" w:cs="宋体"/>
                <w:sz w:val="22"/>
                <w:u w:val="none"/>
                <w:lang w:val="en-US" w:eastAsia="zh-CN"/>
              </w:rPr>
            </w:pPr>
            <w:r>
              <w:rPr>
                <w:rFonts w:hint="eastAsia" w:ascii="宋体" w:hAnsi="宋体" w:eastAsia="宋体" w:cs="宋体"/>
                <w:sz w:val="22"/>
                <w:u w:val="none"/>
                <w:lang w:val="en-US" w:eastAsia="zh-CN"/>
              </w:rPr>
              <w:t>G</w:t>
            </w:r>
            <w:r>
              <w:rPr>
                <w:rFonts w:ascii="宋体" w:hAnsi="宋体" w:eastAsia="宋体" w:cs="宋体"/>
                <w:sz w:val="22"/>
                <w:u w:val="none"/>
              </w:rPr>
              <w:t>份额（销售代码【120026</w:t>
            </w:r>
            <w:r>
              <w:rPr>
                <w:rFonts w:hint="eastAsia" w:ascii="宋体" w:hAnsi="宋体" w:eastAsia="宋体" w:cs="宋体"/>
                <w:sz w:val="22"/>
                <w:u w:val="none"/>
                <w:lang w:val="en-US" w:eastAsia="zh-CN"/>
              </w:rPr>
              <w:t>G</w:t>
            </w:r>
            <w:r>
              <w:rPr>
                <w:rFonts w:ascii="宋体" w:hAnsi="宋体" w:eastAsia="宋体" w:cs="宋体"/>
                <w:sz w:val="22"/>
                <w:u w:val="none"/>
              </w:rPr>
              <w:t>】，销售简称【</w:t>
            </w:r>
            <w:r>
              <w:rPr>
                <w:rFonts w:hint="eastAsia" w:ascii="宋体" w:hAnsi="宋体" w:eastAsia="宋体" w:cs="宋体"/>
                <w:sz w:val="22"/>
                <w:u w:val="none"/>
              </w:rPr>
              <w:t>招银理财招睿添金14天持有期6</w:t>
            </w:r>
            <w:r>
              <w:rPr>
                <w:rFonts w:hint="eastAsia" w:ascii="宋体" w:hAnsi="宋体" w:eastAsia="宋体" w:cs="宋体"/>
                <w:sz w:val="22"/>
                <w:u w:val="none"/>
                <w:lang w:val="en-US" w:eastAsia="zh-CN"/>
              </w:rPr>
              <w:t>G</w:t>
            </w:r>
            <w:r>
              <w:rPr>
                <w:rFonts w:ascii="宋体" w:hAnsi="宋体" w:eastAsia="宋体" w:cs="宋体"/>
                <w:sz w:val="22"/>
                <w:u w:val="none"/>
              </w:rPr>
              <w:t>】）：招商银行机构投资者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份额：发行规模上限10亿元。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w:t>
            </w:r>
            <w:r>
              <w:rPr>
                <w:rFonts w:hint="eastAsia" w:ascii="宋体" w:hAnsi="宋体" w:eastAsia="宋体" w:cs="宋体"/>
                <w:sz w:val="22"/>
                <w:u w:val="none"/>
                <w:lang w:val="en-US" w:eastAsia="zh-CN"/>
              </w:rPr>
              <w:t>21</w:t>
            </w:r>
            <w:r>
              <w:rPr>
                <w:rFonts w:ascii="宋体" w:hAnsi="宋体" w:eastAsia="宋体" w:cs="宋体"/>
                <w:sz w:val="22"/>
                <w:u w:val="none"/>
              </w:rPr>
              <w:t>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hAnsi="宋体" w:eastAsia="宋体" w:cs="宋体"/>
                <w:b/>
                <w:sz w:val="22"/>
                <w:u w:val="none"/>
              </w:rPr>
              <w:t>50%×中国人民银行公布的活期存款利率+50%×中债0-3个月国债财富（总值）指数</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CBA07301.CS）</w:t>
            </w:r>
            <w:r>
              <w:rPr>
                <w:rFonts w:ascii="宋体" w:hAnsi="宋体" w:eastAsia="宋体" w:cs="宋体"/>
                <w:b/>
                <w:sz w:val="22"/>
                <w:u w:val="none"/>
              </w:rPr>
              <w:t>收益率</w:t>
            </w:r>
          </w:p>
          <w:p>
            <w:pPr>
              <w:spacing w:before="0" w:after="0" w:line="300" w:lineRule="auto"/>
              <w:ind w:left="0" w:right="0" w:firstLine="0"/>
              <w:jc w:val="both"/>
              <w:outlineLvl w:val="9"/>
            </w:pPr>
            <w:r>
              <w:rPr>
                <w:rFonts w:ascii="宋体" w:hAnsi="宋体" w:eastAsia="宋体" w:cs="宋体"/>
                <w:sz w:val="22"/>
                <w:u w:val="none"/>
              </w:rPr>
              <w:t>作为本产品的业绩比较基准。</w:t>
            </w: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份额：认购起点为</w:t>
            </w:r>
            <w:r>
              <w:rPr>
                <w:rFonts w:hint="eastAsia" w:ascii="宋体" w:hAnsi="宋体" w:eastAsia="宋体" w:cs="宋体"/>
                <w:sz w:val="22"/>
                <w:u w:val="none"/>
                <w:lang w:val="en-US" w:eastAsia="zh-CN"/>
              </w:rPr>
              <w:t>0.0</w:t>
            </w:r>
            <w:r>
              <w:rPr>
                <w:rFonts w:ascii="宋体" w:hAnsi="宋体" w:eastAsia="宋体" w:cs="宋体"/>
                <w:sz w:val="22"/>
                <w:u w:val="none"/>
              </w:rPr>
              <w:t>1元；超出认购起点部分，须为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份额：认购起点为1元；超出认购起点部分，须为1元或1元的整数倍。</w:t>
            </w:r>
          </w:p>
          <w:p>
            <w:pPr>
              <w:spacing w:before="0" w:after="0" w:line="300" w:lineRule="auto"/>
              <w:ind w:left="0" w:right="0" w:firstLine="0"/>
              <w:jc w:val="both"/>
              <w:outlineLvl w:val="9"/>
            </w:pPr>
            <w:r>
              <w:rPr>
                <w:rFonts w:ascii="宋体" w:hAnsi="宋体" w:eastAsia="宋体" w:cs="宋体"/>
                <w:b/>
                <w:sz w:val="22"/>
                <w:u w:val="none"/>
              </w:rPr>
              <w:t>销售服务机构的实际认购起点可能与说明书不一致，具体以销售服务机构通知为准。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份额：首次申购单笔最低限额为1元，高于申购单笔最低限额的金额及追加申购的金额须为1元或1元的整数倍。</w:t>
            </w:r>
          </w:p>
          <w:p>
            <w:pPr>
              <w:spacing w:before="0" w:after="0" w:line="300" w:lineRule="auto"/>
              <w:ind w:left="0" w:right="0" w:firstLine="0"/>
              <w:jc w:val="both"/>
              <w:outlineLvl w:val="9"/>
            </w:pPr>
            <w:r>
              <w:rPr>
                <w:rFonts w:ascii="宋体" w:hAnsi="宋体" w:eastAsia="宋体" w:cs="宋体"/>
                <w:b/>
                <w:sz w:val="22"/>
                <w:u w:val="none"/>
              </w:rPr>
              <w:t>销售服务机构的实际申购起点可能与说明书不一致，具体以销售服务机构通知为准。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w:t>
            </w:r>
            <w:bookmarkStart w:id="0" w:name="_GoBack"/>
            <w:bookmarkEnd w:id="0"/>
            <w:r>
              <w:rPr>
                <w:rFonts w:ascii="宋体" w:hAnsi="宋体" w:eastAsia="宋体" w:cs="宋体"/>
                <w:sz w:val="22"/>
                <w:u w:val="none"/>
              </w:rPr>
              <w:t>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A份额：投资者单笔认购上限为5000万元和本理财计划A份额规模上限的二者的较小值。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份额：投资者单笔认购上限为5000万元和本理财计划</w:t>
            </w:r>
            <w:r>
              <w:rPr>
                <w:rFonts w:hint="eastAsia" w:ascii="宋体" w:hAnsi="宋体" w:eastAsia="宋体" w:cs="宋体"/>
                <w:sz w:val="22"/>
                <w:u w:val="none"/>
              </w:rPr>
              <w:t>P</w:t>
            </w:r>
            <w:r>
              <w:rPr>
                <w:rFonts w:ascii="宋体" w:hAnsi="宋体" w:eastAsia="宋体" w:cs="宋体"/>
                <w:sz w:val="22"/>
                <w:u w:val="none"/>
              </w:rPr>
              <w:t>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份额：投资者单笔认购上限为</w:t>
            </w:r>
            <w:r>
              <w:rPr>
                <w:rFonts w:hint="eastAsia" w:ascii="宋体" w:hAnsi="宋体" w:eastAsia="宋体" w:cs="宋体"/>
                <w:sz w:val="22"/>
                <w:u w:val="none"/>
                <w:lang w:val="en-US" w:eastAsia="zh-CN"/>
              </w:rPr>
              <w:t>2亿</w:t>
            </w:r>
            <w:r>
              <w:rPr>
                <w:rFonts w:ascii="宋体" w:hAnsi="宋体" w:eastAsia="宋体" w:cs="宋体"/>
                <w:sz w:val="22"/>
                <w:u w:val="none"/>
              </w:rPr>
              <w:t>元和本理财计划</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单笔申购上限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A份额：投资者单笔申购上限为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份额：投资者单笔申购上限为5000万元和本理财计划</w:t>
            </w:r>
            <w:r>
              <w:rPr>
                <w:rFonts w:hint="eastAsia" w:ascii="宋体" w:hAnsi="宋体" w:eastAsia="宋体" w:cs="宋体"/>
                <w:sz w:val="22"/>
                <w:u w:val="none"/>
              </w:rPr>
              <w:t>P</w:t>
            </w:r>
            <w:r>
              <w:rPr>
                <w:rFonts w:ascii="宋体" w:hAnsi="宋体" w:eastAsia="宋体" w:cs="宋体"/>
                <w:sz w:val="22"/>
                <w:u w:val="none"/>
              </w:rPr>
              <w:t>份额规模上限的二者的较小值。</w:t>
            </w:r>
          </w:p>
          <w:p>
            <w:pPr>
              <w:spacing w:before="0" w:after="0" w:line="300" w:lineRule="auto"/>
              <w:ind w:left="0" w:right="0" w:firstLine="0"/>
              <w:jc w:val="both"/>
              <w:outlineLvl w:val="9"/>
              <w:rPr>
                <w:rFonts w:hint="eastAsia" w:ascii="宋体" w:hAnsi="宋体" w:eastAsia="宋体" w:cs="宋体"/>
                <w:sz w:val="22"/>
                <w:u w:val="none"/>
                <w:lang w:val="en-US" w:eastAsia="zh-CN"/>
              </w:rPr>
            </w:pPr>
            <w:r>
              <w:rPr>
                <w:rFonts w:hint="eastAsia" w:ascii="宋体" w:hAnsi="宋体" w:eastAsia="宋体" w:cs="宋体"/>
                <w:sz w:val="22"/>
                <w:u w:val="none"/>
                <w:lang w:val="en-US" w:eastAsia="zh-CN"/>
              </w:rPr>
              <w:t>G</w:t>
            </w:r>
            <w:r>
              <w:rPr>
                <w:rFonts w:ascii="宋体" w:hAnsi="宋体" w:eastAsia="宋体" w:cs="宋体"/>
                <w:sz w:val="22"/>
                <w:u w:val="none"/>
              </w:rPr>
              <w:t>份额：投资者单笔申购上限为</w:t>
            </w:r>
            <w:r>
              <w:rPr>
                <w:rFonts w:hint="eastAsia" w:ascii="宋体" w:hAnsi="宋体" w:eastAsia="宋体" w:cs="宋体"/>
                <w:sz w:val="22"/>
                <w:u w:val="none"/>
                <w:lang w:val="en-US" w:eastAsia="zh-CN"/>
              </w:rPr>
              <w:t>2亿</w:t>
            </w:r>
            <w:r>
              <w:rPr>
                <w:rFonts w:ascii="宋体" w:hAnsi="宋体" w:eastAsia="宋体" w:cs="宋体"/>
                <w:sz w:val="22"/>
                <w:u w:val="none"/>
              </w:rPr>
              <w:t>元和本理财计划</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A份额单一投资者购买本理财计划，其持有上限为</w:t>
            </w:r>
            <w:r>
              <w:rPr>
                <w:rFonts w:hint="eastAsia" w:ascii="宋体" w:hAnsi="宋体" w:eastAsia="宋体" w:cs="宋体"/>
                <w:sz w:val="22"/>
                <w:u w:val="none"/>
                <w:lang w:val="en-US" w:eastAsia="zh-CN"/>
              </w:rPr>
              <w:t>1亿</w:t>
            </w:r>
            <w:r>
              <w:rPr>
                <w:rFonts w:ascii="宋体" w:hAnsi="宋体" w:eastAsia="宋体" w:cs="宋体"/>
                <w:sz w:val="22"/>
                <w:u w:val="none"/>
              </w:rPr>
              <w:t>元和A份额规模上限的较小值。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份额单一投资者购买本理财计划，其持有上限为5000万元和</w:t>
            </w:r>
            <w:r>
              <w:rPr>
                <w:rFonts w:hint="eastAsia" w:ascii="宋体" w:hAnsi="宋体" w:eastAsia="宋体" w:cs="宋体"/>
                <w:sz w:val="22"/>
                <w:u w:val="none"/>
              </w:rPr>
              <w:t>P</w:t>
            </w:r>
            <w:r>
              <w:rPr>
                <w:rFonts w:ascii="宋体" w:hAnsi="宋体" w:eastAsia="宋体" w:cs="宋体"/>
                <w:sz w:val="22"/>
                <w:u w:val="none"/>
              </w:rPr>
              <w:t>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份额单一投资者购买本理财计划，其持有上限为</w:t>
            </w:r>
            <w:r>
              <w:rPr>
                <w:rFonts w:hint="eastAsia" w:ascii="宋体" w:hAnsi="宋体" w:eastAsia="宋体" w:cs="宋体"/>
                <w:sz w:val="22"/>
                <w:u w:val="none"/>
                <w:lang w:val="en-US" w:eastAsia="zh-CN"/>
              </w:rPr>
              <w:t>2亿</w:t>
            </w:r>
            <w:r>
              <w:rPr>
                <w:rFonts w:ascii="宋体" w:hAnsi="宋体" w:eastAsia="宋体" w:cs="宋体"/>
                <w:sz w:val="22"/>
                <w:u w:val="none"/>
              </w:rPr>
              <w:t>元和</w:t>
            </w:r>
            <w:r>
              <w:rPr>
                <w:rFonts w:hint="eastAsia" w:ascii="宋体" w:hAnsi="宋体" w:eastAsia="宋体" w:cs="宋体"/>
                <w:sz w:val="22"/>
                <w:u w:val="none"/>
                <w:lang w:val="en-US" w:eastAsia="zh-CN"/>
              </w:rPr>
              <w:t>G</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25日09:00到2025年09月25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理财计划预计存续期为30年，预计到期日为2055年09月26日(如遇非交易日顺延至下一个交易日)。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约定的方式通知投资者，本《产品说明书》另有约定的除外。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本理财计划存续期间，每个交易日、理财计划收益分配基准日、除息日以及理财计划终止日为估值日，如估值日为非交易日，则估值日顺延至下一个交易日。管理人于估值日后1个交易日内披露理财产品的估值。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销售服务费：销售服务机构收取理财计划A份额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P</w:t>
            </w:r>
            <w:r>
              <w:rPr>
                <w:rFonts w:ascii="宋体" w:hAnsi="宋体" w:eastAsia="宋体" w:cs="宋体"/>
                <w:b/>
                <w:sz w:val="22"/>
                <w:u w:val="none"/>
              </w:rPr>
              <w:t>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G</w:t>
            </w:r>
            <w:r>
              <w:rPr>
                <w:rFonts w:ascii="宋体" w:hAnsi="宋体" w:eastAsia="宋体" w:cs="宋体"/>
                <w:b/>
                <w:sz w:val="22"/>
                <w:u w:val="none"/>
              </w:rPr>
              <w:t>份额销售服务费，A份额销售服务费率0.20%/年，</w:t>
            </w:r>
            <w:r>
              <w:rPr>
                <w:rFonts w:hint="eastAsia" w:ascii="宋体" w:hAnsi="宋体" w:eastAsia="宋体" w:cs="宋体"/>
                <w:b/>
                <w:sz w:val="22"/>
                <w:u w:val="none"/>
                <w:lang w:val="en-US" w:eastAsia="zh-CN"/>
              </w:rPr>
              <w:t>P</w:t>
            </w:r>
            <w:r>
              <w:rPr>
                <w:rFonts w:ascii="宋体" w:hAnsi="宋体" w:eastAsia="宋体" w:cs="宋体"/>
                <w:b/>
                <w:sz w:val="22"/>
                <w:u w:val="none"/>
              </w:rPr>
              <w:t>份额销售服务费率0.20%/年，</w:t>
            </w:r>
            <w:r>
              <w:rPr>
                <w:rFonts w:hint="eastAsia" w:ascii="宋体" w:hAnsi="宋体" w:eastAsia="宋体" w:cs="宋体"/>
                <w:b/>
                <w:sz w:val="22"/>
                <w:u w:val="none"/>
                <w:lang w:val="en-US" w:eastAsia="zh-CN"/>
              </w:rPr>
              <w:t>G</w:t>
            </w:r>
            <w:r>
              <w:rPr>
                <w:rFonts w:ascii="宋体" w:hAnsi="宋体" w:eastAsia="宋体" w:cs="宋体"/>
                <w:b/>
                <w:sz w:val="22"/>
                <w:u w:val="none"/>
              </w:rPr>
              <w:t>份额销售服务费率0.</w:t>
            </w:r>
            <w:r>
              <w:rPr>
                <w:rFonts w:hint="eastAsia" w:ascii="宋体" w:hAnsi="宋体" w:eastAsia="宋体" w:cs="宋体"/>
                <w:b/>
                <w:sz w:val="22"/>
                <w:u w:val="none"/>
                <w:lang w:val="en-US" w:eastAsia="zh-CN"/>
              </w:rPr>
              <w:t>15</w:t>
            </w:r>
            <w:r>
              <w:rPr>
                <w:rFonts w:ascii="宋体" w:hAnsi="宋体" w:eastAsia="宋体" w:cs="宋体"/>
                <w:b/>
                <w:sz w:val="22"/>
                <w:u w:val="none"/>
              </w:rPr>
              <w:t>%/年，销售服务费精确到小数点后2位，小数点2位以后舍位。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份额：本理财计划</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份额：本理财计划</w:t>
            </w:r>
            <w:r>
              <w:rPr>
                <w:rFonts w:hint="eastAsia" w:ascii="宋体" w:hAnsi="宋体" w:eastAsia="宋体" w:cs="宋体"/>
                <w:sz w:val="22"/>
                <w:u w:val="none"/>
                <w:lang w:val="en-US" w:eastAsia="zh-CN"/>
              </w:rPr>
              <w:t>G</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A份额：投资者赎回本理财计划A份额无需支付赎回费。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P</w:t>
            </w:r>
            <w:r>
              <w:rPr>
                <w:rFonts w:ascii="宋体" w:hAnsi="宋体" w:eastAsia="宋体" w:cs="宋体"/>
                <w:sz w:val="22"/>
                <w:u w:val="none"/>
              </w:rPr>
              <w:t>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G</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w:t>
      </w:r>
      <w:r>
        <w:rPr>
          <w:rFonts w:ascii="宋体" w:hAnsi="宋体" w:eastAsia="宋体" w:cs="宋体"/>
          <w:sz w:val="22"/>
          <w:szCs w:val="22"/>
          <w:u w:val="none"/>
        </w:rPr>
        <w:t>招商银行</w:t>
      </w:r>
      <w:r>
        <w:rPr>
          <w:rFonts w:hint="eastAsia" w:ascii="宋体" w:hAnsi="宋体" w:eastAsia="宋体" w:cs="宋体"/>
          <w:sz w:val="22"/>
          <w:szCs w:val="22"/>
          <w:u w:val="none"/>
          <w:lang w:eastAsia="zh-CN"/>
        </w:rPr>
        <w:t>、余杭农商行、</w:t>
      </w:r>
      <w:r>
        <w:rPr>
          <w:rFonts w:hint="eastAsia"/>
          <w:sz w:val="22"/>
          <w:szCs w:val="22"/>
        </w:rPr>
        <w:t>浦发银行</w:t>
      </w:r>
      <w:r>
        <w:rPr>
          <w:rFonts w:hint="eastAsia" w:eastAsia="宋体"/>
          <w:sz w:val="22"/>
          <w:szCs w:val="22"/>
          <w:lang w:eastAsia="zh-CN"/>
        </w:rPr>
        <w:t>、</w:t>
      </w:r>
      <w:r>
        <w:rPr>
          <w:rFonts w:hint="eastAsia"/>
          <w:sz w:val="22"/>
          <w:szCs w:val="22"/>
        </w:rPr>
        <w:t>厦门国际银行</w:t>
      </w:r>
      <w:r>
        <w:rPr>
          <w:rFonts w:hint="eastAsia" w:eastAsia="宋体"/>
          <w:sz w:val="22"/>
          <w:szCs w:val="22"/>
          <w:lang w:eastAsia="zh-CN"/>
        </w:rPr>
        <w:t>、</w:t>
      </w:r>
      <w:r>
        <w:rPr>
          <w:rFonts w:hint="eastAsia" w:ascii="宋体" w:hAnsi="宋体" w:eastAsia="宋体" w:cs="宋体"/>
          <w:sz w:val="22"/>
          <w:szCs w:val="22"/>
        </w:rPr>
        <w:t>浙江德清农商</w:t>
      </w:r>
      <w:r>
        <w:rPr>
          <w:rFonts w:hint="eastAsia" w:ascii="宋体" w:hAnsi="宋体" w:eastAsia="宋体" w:cs="宋体"/>
          <w:sz w:val="22"/>
          <w:szCs w:val="22"/>
          <w:lang w:val="en-US" w:eastAsia="zh-CN"/>
        </w:rPr>
        <w:t>行、</w:t>
      </w:r>
      <w:r>
        <w:rPr>
          <w:rFonts w:hint="eastAsia" w:ascii="宋体" w:hAnsi="宋体" w:eastAsia="宋体" w:cs="宋体"/>
          <w:sz w:val="22"/>
          <w:szCs w:val="22"/>
        </w:rPr>
        <w:t>宁波余姚农商</w:t>
      </w:r>
      <w:r>
        <w:rPr>
          <w:rFonts w:hint="eastAsia" w:ascii="宋体" w:hAnsi="宋体" w:eastAsia="宋体" w:cs="宋体"/>
          <w:sz w:val="22"/>
          <w:szCs w:val="22"/>
          <w:lang w:val="en-US" w:eastAsia="zh-CN"/>
        </w:rPr>
        <w:t>行、华夏银行、浙江南浔农商行、</w:t>
      </w:r>
      <w:r>
        <w:rPr>
          <w:rFonts w:hint="eastAsia" w:ascii="宋体" w:hAnsi="宋体" w:eastAsia="宋体" w:cs="宋体"/>
          <w:sz w:val="22"/>
          <w:szCs w:val="22"/>
          <w:lang w:eastAsia="zh-CN"/>
        </w:rPr>
        <w:t>中信银行</w:t>
      </w:r>
      <w:r>
        <w:rPr>
          <w:rFonts w:hint="eastAsia" w:ascii="宋体" w:hAnsi="宋体" w:eastAsia="宋体" w:cs="宋体"/>
          <w:sz w:val="22"/>
          <w:szCs w:val="22"/>
          <w:lang w:val="en-US" w:eastAsia="zh-CN"/>
        </w:rPr>
        <w:t>、</w:t>
      </w:r>
      <w:r>
        <w:rPr>
          <w:rFonts w:hint="eastAsia" w:ascii="宋体" w:hAnsi="宋体" w:eastAsia="宋体" w:cs="宋体"/>
          <w:sz w:val="22"/>
          <w:szCs w:val="22"/>
        </w:rPr>
        <w:t>宁波银行</w:t>
      </w:r>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537"/>
        <w:gridCol w:w="4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ascii="宋体" w:hAnsi="宋体" w:eastAsia="宋体" w:cs="宋体"/>
                <w:sz w:val="22"/>
              </w:rPr>
              <w:t>招商银行股份有限公司</w:t>
            </w:r>
          </w:p>
        </w:tc>
        <w:tc>
          <w:tcPr>
            <w:tcW w:w="1537" w:type="dxa"/>
            <w:vAlign w:val="center"/>
          </w:tcPr>
          <w:p>
            <w:r>
              <w:rPr>
                <w:rFonts w:ascii="宋体" w:hAnsi="宋体" w:eastAsia="宋体" w:cs="宋体"/>
                <w:sz w:val="22"/>
              </w:rPr>
              <w:t>住所</w:t>
            </w:r>
          </w:p>
        </w:tc>
        <w:tc>
          <w:tcPr>
            <w:tcW w:w="4529"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r>
              <w:rPr>
                <w:rFonts w:ascii="宋体" w:hAnsi="宋体" w:eastAsia="宋体" w:cs="宋体"/>
                <w:sz w:val="22"/>
              </w:rPr>
              <w:t>客户服务热线</w:t>
            </w:r>
          </w:p>
        </w:tc>
        <w:tc>
          <w:tcPr>
            <w:tcW w:w="4529"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424" w:type="dxa"/>
            <w:vMerge w:val="restart"/>
            <w:vAlign w:val="center"/>
          </w:tcPr>
          <w:p>
            <w:pPr>
              <w:jc w:val="center"/>
            </w:pPr>
            <w:r>
              <w:rPr>
                <w:rFonts w:hint="default" w:ascii="宋体" w:hAnsi="宋体" w:eastAsia="宋体" w:cs="宋体"/>
                <w:sz w:val="22"/>
              </w:rPr>
              <w:t>浙江杭州余杭农村商业银行股份有限公司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ascii="宋体" w:hAnsi="宋体" w:eastAsia="宋体" w:cs="宋体"/>
                <w:sz w:val="22"/>
              </w:rPr>
            </w:pPr>
            <w:r>
              <w:rPr>
                <w:rFonts w:hint="eastAsia" w:ascii="宋体" w:hAnsi="宋体" w:eastAsia="宋体" w:cs="宋体"/>
                <w:sz w:val="22"/>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24" w:type="dxa"/>
            <w:vMerge w:val="restart"/>
            <w:vAlign w:val="center"/>
          </w:tcPr>
          <w:p>
            <w:pPr>
              <w:jc w:val="center"/>
            </w:pPr>
            <w:r>
              <w:rPr>
                <w:rFonts w:hint="default" w:ascii="宋体" w:hAnsi="宋体" w:eastAsia="宋体" w:cs="宋体"/>
                <w:sz w:val="22"/>
              </w:rPr>
              <w:t>上海浦东发展银行股份有限公司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厦门国际银行股份有限公司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浙江德清农村商业银行股份有限公司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宁波余姚农村商业银行股份有限公司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宁波余姚市新建路69号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0574-62628888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sz w:val="22"/>
                <w:szCs w:val="22"/>
              </w:rPr>
            </w:pPr>
            <w:r>
              <w:rPr>
                <w:rFonts w:hint="eastAsia" w:ascii="宋体" w:hAnsi="宋体" w:eastAsia="宋体" w:cs="宋体"/>
                <w:sz w:val="22"/>
                <w:szCs w:val="22"/>
              </w:rPr>
              <w:t>华夏银行股份有限公司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北京市东城区建国门内大街22号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浙江南浔农村商业银行股份有限公司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中信银行股份有限公司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宁波银行股份有限公司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浙江省宁波市鄞州区宁东路345号宁波银行大厦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95574</w:t>
            </w:r>
          </w:p>
        </w:tc>
      </w:tr>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发行规模下限为5000万元，如认购金额不足5000万元，管理人有权宣布理财计划不成立。A份额产品规模上限为100亿元。</w:t>
      </w:r>
      <w:r>
        <w:rPr>
          <w:rFonts w:hint="eastAsia" w:ascii="宋体" w:hAnsi="宋体" w:eastAsia="宋体" w:cs="宋体"/>
          <w:sz w:val="22"/>
          <w:u w:val="none"/>
          <w:lang w:val="en-US" w:eastAsia="zh-CN"/>
        </w:rPr>
        <w:t>P</w:t>
      </w:r>
      <w:r>
        <w:rPr>
          <w:rFonts w:ascii="宋体" w:hAnsi="宋体" w:eastAsia="宋体" w:cs="宋体"/>
          <w:sz w:val="22"/>
          <w:u w:val="none"/>
        </w:rPr>
        <w:t>份额产品规模上限为100亿元。</w:t>
      </w:r>
      <w:r>
        <w:rPr>
          <w:rFonts w:hint="eastAsia" w:ascii="宋体" w:hAnsi="宋体" w:eastAsia="宋体" w:cs="宋体"/>
          <w:sz w:val="22"/>
          <w:u w:val="none"/>
          <w:lang w:val="en-US" w:eastAsia="zh-CN"/>
        </w:rPr>
        <w:t>G</w:t>
      </w:r>
      <w:r>
        <w:rPr>
          <w:rFonts w:ascii="宋体" w:hAnsi="宋体" w:eastAsia="宋体" w:cs="宋体"/>
          <w:sz w:val="22"/>
          <w:u w:val="none"/>
        </w:rPr>
        <w:t>份额产品规模上限为10亿元。产品规模上限为</w:t>
      </w:r>
      <w:r>
        <w:rPr>
          <w:rFonts w:hint="eastAsia" w:ascii="宋体" w:hAnsi="宋体" w:eastAsia="宋体" w:cs="宋体"/>
          <w:sz w:val="22"/>
          <w:u w:val="none"/>
          <w:lang w:val="en-US" w:eastAsia="zh-CN"/>
        </w:rPr>
        <w:t>21</w:t>
      </w:r>
      <w:r>
        <w:rPr>
          <w:rFonts w:ascii="宋体" w:hAnsi="宋体" w:eastAsia="宋体" w:cs="宋体"/>
          <w:sz w:val="22"/>
          <w:u w:val="none"/>
        </w:rPr>
        <w:t>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2025年09月25日09:00至2025年09月25日17:00。自认购之日（含）起，至认购登记日（不含）止，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本理财计划于2025年09月26日(如遇非交易日顺延至下一个交易日)进行认购登记。如产品认购期延长或提前终止，实际认购登记日以管理人公告为准。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份额投资者首次认购单笔最低限额为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1元，高于认购单笔最低限额的金额须为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r>
        <w:rPr>
          <w:rFonts w:hint="eastAsia" w:ascii="宋体" w:hAnsi="宋体" w:eastAsia="宋体" w:cs="宋体"/>
          <w:sz w:val="22"/>
          <w:u w:val="none"/>
          <w:lang w:val="en-US" w:eastAsia="zh-CN"/>
        </w:rPr>
        <w:t>G</w:t>
      </w:r>
      <w:r>
        <w:rPr>
          <w:rFonts w:ascii="宋体" w:hAnsi="宋体" w:eastAsia="宋体" w:cs="宋体"/>
          <w:sz w:val="22"/>
          <w:u w:val="none"/>
        </w:rPr>
        <w:t>份额投资者首次认购单笔最低限额为1元，高于认购单笔最低限额的金额须为1元或1元的整数倍。销售服务机构的实际认购起点可能与说明书不一致，具体以销售服务机构要求为准。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份额投资者单笔认购上限为5000万元和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w:t>
      </w:r>
      <w:r>
        <w:rPr>
          <w:rFonts w:hint="eastAsia" w:ascii="宋体" w:hAnsi="宋体" w:eastAsia="宋体" w:cs="宋体"/>
          <w:sz w:val="22"/>
          <w:u w:val="none"/>
          <w:lang w:val="en-US" w:eastAsia="zh-CN"/>
        </w:rPr>
        <w:t>G</w:t>
      </w:r>
      <w:r>
        <w:rPr>
          <w:rFonts w:ascii="宋体" w:hAnsi="宋体" w:eastAsia="宋体" w:cs="宋体"/>
          <w:sz w:val="22"/>
          <w:u w:val="none"/>
        </w:rPr>
        <w:t>份额投资者单笔认购上限为</w:t>
      </w:r>
      <w:r>
        <w:rPr>
          <w:rFonts w:hint="eastAsia" w:ascii="宋体" w:hAnsi="宋体" w:eastAsia="宋体" w:cs="宋体"/>
          <w:sz w:val="22"/>
          <w:u w:val="none"/>
          <w:lang w:val="en-US" w:eastAsia="zh-CN"/>
        </w:rPr>
        <w:t>2亿</w:t>
      </w:r>
      <w:r>
        <w:rPr>
          <w:rFonts w:ascii="宋体" w:hAnsi="宋体" w:eastAsia="宋体" w:cs="宋体"/>
          <w:sz w:val="22"/>
          <w:u w:val="none"/>
        </w:rPr>
        <w:t>元和</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元和本理财计划A份额规模上限中二者的较小值，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份额投资者持有上限为5000万元和本理财计划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份额规模上限中二者的较小值，</w:t>
      </w:r>
      <w:r>
        <w:rPr>
          <w:rFonts w:hint="eastAsia" w:ascii="宋体" w:hAnsi="宋体" w:eastAsia="宋体" w:cs="宋体"/>
          <w:sz w:val="22"/>
          <w:u w:val="none"/>
          <w:lang w:val="en-US" w:eastAsia="zh-CN"/>
        </w:rPr>
        <w:t>G</w:t>
      </w:r>
      <w:r>
        <w:rPr>
          <w:rFonts w:ascii="宋体" w:hAnsi="宋体" w:eastAsia="宋体" w:cs="宋体"/>
          <w:sz w:val="22"/>
          <w:u w:val="none"/>
        </w:rPr>
        <w:t>份额投资者持有上限为</w:t>
      </w:r>
      <w:r>
        <w:rPr>
          <w:rFonts w:hint="eastAsia" w:ascii="宋体" w:hAnsi="宋体" w:eastAsia="宋体" w:cs="宋体"/>
          <w:sz w:val="22"/>
          <w:u w:val="none"/>
          <w:lang w:val="en-US" w:eastAsia="zh-CN"/>
        </w:rPr>
        <w:t>2亿</w:t>
      </w:r>
      <w:r>
        <w:rPr>
          <w:rFonts w:ascii="宋体" w:hAnsi="宋体" w:eastAsia="宋体" w:cs="宋体"/>
          <w:sz w:val="22"/>
          <w:u w:val="none"/>
        </w:rPr>
        <w:t>元和本理财计划</w:t>
      </w:r>
      <w:r>
        <w:rPr>
          <w:rFonts w:hint="eastAsia" w:ascii="宋体" w:hAnsi="宋体" w:eastAsia="宋体" w:cs="宋体"/>
          <w:sz w:val="22"/>
          <w:u w:val="none"/>
          <w:lang w:val="en-US" w:eastAsia="zh-CN"/>
        </w:rPr>
        <w:t>G</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w:t>
      </w:r>
      <w:r>
        <w:rPr>
          <w:rFonts w:hint="eastAsia" w:ascii="宋体" w:hAnsi="宋体" w:eastAsia="宋体" w:cs="宋体"/>
          <w:sz w:val="22"/>
          <w:u w:val="none"/>
          <w:lang w:val="en-US" w:eastAsia="zh-CN"/>
        </w:rPr>
        <w:t>P</w:t>
      </w:r>
      <w:r>
        <w:rPr>
          <w:rFonts w:ascii="宋体" w:hAnsi="宋体" w:eastAsia="宋体" w:cs="宋体"/>
          <w:sz w:val="22"/>
          <w:u w:val="none"/>
        </w:rPr>
        <w:t>份额投资者部分撤销后剩余的各笔认购金额总和不得低于</w:t>
      </w:r>
      <w:r>
        <w:rPr>
          <w:rFonts w:hint="eastAsia" w:ascii="宋体" w:hAnsi="宋体" w:eastAsia="宋体" w:cs="宋体"/>
          <w:sz w:val="22"/>
          <w:u w:val="none"/>
          <w:lang w:val="en-US" w:eastAsia="zh-CN"/>
        </w:rPr>
        <w:t>0.0</w:t>
      </w:r>
      <w:r>
        <w:rPr>
          <w:rFonts w:ascii="宋体" w:hAnsi="宋体" w:eastAsia="宋体" w:cs="宋体"/>
          <w:sz w:val="22"/>
          <w:u w:val="none"/>
        </w:rPr>
        <w:t>1元；</w:t>
      </w:r>
      <w:r>
        <w:rPr>
          <w:rFonts w:hint="eastAsia" w:ascii="宋体" w:hAnsi="宋体" w:eastAsia="宋体" w:cs="宋体"/>
          <w:sz w:val="22"/>
          <w:u w:val="none"/>
          <w:lang w:val="en-US" w:eastAsia="zh-CN"/>
        </w:rPr>
        <w:t>G</w:t>
      </w:r>
      <w:r>
        <w:rPr>
          <w:rFonts w:ascii="宋体" w:hAnsi="宋体" w:eastAsia="宋体" w:cs="宋体"/>
          <w:sz w:val="22"/>
          <w:u w:val="none"/>
        </w:rPr>
        <w:t>份额投资者部分撤销后剩余的各笔认购金额总和不得低于1元；否则，投资者应将剩余各笔认购申请一次性全单撤销。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投资者认购本理财计划A份额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最短持有期：本理财计划对投资者的每笔有效认/申购份额设置14个自然日的最短持有期限，</w:t>
      </w:r>
      <w:r>
        <w:rPr>
          <w:rFonts w:ascii="宋体" w:hAnsi="宋体" w:eastAsia="宋体" w:cs="宋体"/>
          <w:sz w:val="22"/>
          <w:u w:val="none"/>
        </w:rPr>
        <w:t>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w:t>
      </w:r>
      <w:r>
        <w:rPr>
          <w:rFonts w:hint="eastAsia" w:ascii="宋体" w:hAnsi="宋体" w:eastAsia="宋体" w:cs="宋体"/>
          <w:sz w:val="22"/>
          <w:u w:val="none"/>
          <w:lang w:val="en-US" w:eastAsia="zh-CN"/>
        </w:rPr>
        <w:t>1亿</w:t>
      </w:r>
      <w:r>
        <w:rPr>
          <w:rFonts w:ascii="宋体" w:hAnsi="宋体" w:eastAsia="宋体" w:cs="宋体"/>
          <w:sz w:val="22"/>
          <w:u w:val="none"/>
        </w:rPr>
        <w:t>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份额投资者单笔申购上限为5000万元和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w:t>
      </w:r>
      <w:r>
        <w:rPr>
          <w:rFonts w:hint="eastAsia" w:ascii="宋体" w:hAnsi="宋体" w:eastAsia="宋体" w:cs="宋体"/>
          <w:sz w:val="22"/>
          <w:u w:val="none"/>
          <w:lang w:val="en-US" w:eastAsia="zh-CN"/>
        </w:rPr>
        <w:t>G</w:t>
      </w:r>
      <w:r>
        <w:rPr>
          <w:rFonts w:ascii="宋体" w:hAnsi="宋体" w:eastAsia="宋体" w:cs="宋体"/>
          <w:sz w:val="22"/>
          <w:u w:val="none"/>
        </w:rPr>
        <w:t>份额投资者单笔申购上限为</w:t>
      </w:r>
      <w:r>
        <w:rPr>
          <w:rFonts w:hint="eastAsia" w:ascii="宋体" w:hAnsi="宋体" w:eastAsia="宋体" w:cs="宋体"/>
          <w:sz w:val="22"/>
          <w:u w:val="none"/>
          <w:lang w:val="en-US" w:eastAsia="zh-CN"/>
        </w:rPr>
        <w:t>2亿</w:t>
      </w:r>
      <w:r>
        <w:rPr>
          <w:rFonts w:ascii="宋体" w:hAnsi="宋体" w:eastAsia="宋体" w:cs="宋体"/>
          <w:sz w:val="22"/>
          <w:u w:val="none"/>
        </w:rPr>
        <w:t>元和</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r>
        <w:rPr>
          <w:rFonts w:hint="eastAsia" w:ascii="宋体" w:hAnsi="宋体" w:eastAsia="宋体" w:cs="宋体"/>
          <w:sz w:val="22"/>
          <w:u w:val="none"/>
          <w:lang w:val="en-US" w:eastAsia="zh-CN"/>
        </w:rPr>
        <w:t>G</w:t>
      </w:r>
      <w:r>
        <w:rPr>
          <w:rFonts w:ascii="宋体" w:hAnsi="宋体" w:eastAsia="宋体" w:cs="宋体"/>
          <w:sz w:val="22"/>
          <w:u w:val="none"/>
        </w:rPr>
        <w:t>份额投资者首次申购单笔最低限额为1元，高于申购单笔最低限额的金额及追加申购的金额须为1元或1元的整数倍。销售服务机构的实际申购起点可能与说明书不一致，具体以销售服务机构通知为准。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份额投资者如需再行申购，则申购最低金额为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r>
        <w:rPr>
          <w:rFonts w:hint="eastAsia" w:ascii="宋体" w:hAnsi="宋体" w:eastAsia="宋体" w:cs="宋体"/>
          <w:sz w:val="22"/>
          <w:u w:val="none"/>
          <w:lang w:val="en-US" w:eastAsia="zh-CN"/>
        </w:rPr>
        <w:t>G</w:t>
      </w:r>
      <w:r>
        <w:rPr>
          <w:rFonts w:ascii="宋体" w:hAnsi="宋体" w:eastAsia="宋体" w:cs="宋体"/>
          <w:sz w:val="22"/>
          <w:u w:val="none"/>
        </w:rPr>
        <w:t>份额投资者如需再行申购，则申购最低金额为1元或1元的整数倍。销售服务机构的实际申购起点可能与说明书不一致，具体以销售服务机构通知为准。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投资者有权部分或全部赎回理财计划份额。如赎回将导致单个A份额投资者的理财计划份额余额不足0.01份时，如赎回将导致单个</w:t>
      </w:r>
      <w:r>
        <w:rPr>
          <w:rFonts w:hint="eastAsia" w:ascii="宋体" w:hAnsi="宋体" w:eastAsia="宋体" w:cs="宋体"/>
          <w:sz w:val="22"/>
          <w:u w:val="none"/>
          <w:lang w:val="en-US" w:eastAsia="zh-CN"/>
        </w:rPr>
        <w:t>P</w:t>
      </w:r>
      <w:r>
        <w:rPr>
          <w:rFonts w:ascii="宋体" w:hAnsi="宋体" w:eastAsia="宋体" w:cs="宋体"/>
          <w:sz w:val="22"/>
          <w:u w:val="none"/>
        </w:rPr>
        <w:t>份额投资者的理财计划份额余额不足0.01份时，如赎回将导致单个</w:t>
      </w:r>
      <w:r>
        <w:rPr>
          <w:rFonts w:hint="eastAsia" w:ascii="宋体" w:hAnsi="宋体" w:eastAsia="宋体" w:cs="宋体"/>
          <w:sz w:val="22"/>
          <w:u w:val="none"/>
          <w:lang w:val="en-US" w:eastAsia="zh-CN"/>
        </w:rPr>
        <w:t>G</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pPr>
      <w:r>
        <w:rPr>
          <w:rFonts w:ascii="宋体" w:hAnsi="宋体" w:eastAsia="宋体" w:cs="宋体"/>
          <w:sz w:val="22"/>
          <w:u w:val="none"/>
        </w:rPr>
        <w:t>因战争、自然灾害、系统故障等不可抗力导致理财计划无法正常运作。</w:t>
      </w:r>
    </w:p>
    <w:p>
      <w:pPr>
        <w:numPr>
          <w:ilvl w:val="0"/>
          <w:numId w:val="22"/>
        </w:numPr>
        <w:spacing w:before="0" w:after="0" w:line="300" w:lineRule="auto"/>
        <w:ind w:left="0" w:right="0" w:firstLine="0"/>
        <w:jc w:val="both"/>
        <w:outlineLvl w:val="9"/>
      </w:pPr>
      <w:r>
        <w:rPr>
          <w:rFonts w:ascii="宋体" w:hAnsi="宋体" w:eastAsia="宋体" w:cs="宋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pPr>
      <w:r>
        <w:rPr>
          <w:rFonts w:ascii="宋体" w:hAnsi="宋体" w:eastAsia="宋体" w:cs="宋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pPr>
      <w:r>
        <w:rPr>
          <w:rFonts w:ascii="宋体" w:hAnsi="宋体" w:eastAsia="宋体" w:cs="宋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pPr>
      <w:r>
        <w:rPr>
          <w:rFonts w:ascii="宋体" w:hAnsi="宋体" w:eastAsia="宋体" w:cs="宋体"/>
          <w:sz w:val="22"/>
          <w:u w:val="none"/>
        </w:rPr>
        <w:t>本产品说明书规定的其他情形。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3"/>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估值错误的处理</w:t>
      </w:r>
    </w:p>
    <w:p>
      <w:pPr>
        <w:numPr>
          <w:ilvl w:val="0"/>
          <w:numId w:val="24"/>
        </w:numPr>
        <w:spacing w:before="0" w:after="0" w:line="300" w:lineRule="auto"/>
        <w:ind w:left="0" w:right="0" w:firstLine="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5"/>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09月26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A份额每个自然日计提的销售服务费=上一自然日理财计划A份额净资产×0.20%÷365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P</w:t>
      </w:r>
      <w:r>
        <w:rPr>
          <w:rFonts w:ascii="宋体" w:hAnsi="宋体" w:eastAsia="宋体" w:cs="宋体"/>
          <w:b/>
          <w:sz w:val="22"/>
          <w:u w:val="none"/>
        </w:rPr>
        <w:t>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P</w:t>
      </w:r>
      <w:r>
        <w:rPr>
          <w:rFonts w:ascii="宋体" w:hAnsi="宋体" w:eastAsia="宋体" w:cs="宋体"/>
          <w:b/>
          <w:sz w:val="22"/>
          <w:u w:val="none"/>
        </w:rPr>
        <w:t>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G</w:t>
      </w:r>
      <w:r>
        <w:rPr>
          <w:rFonts w:ascii="宋体" w:hAnsi="宋体" w:eastAsia="宋体" w:cs="宋体"/>
          <w:b/>
          <w:sz w:val="22"/>
          <w:u w:val="none"/>
        </w:rPr>
        <w:t>份额：销售服务费率为0.</w:t>
      </w:r>
      <w:r>
        <w:rPr>
          <w:rFonts w:hint="eastAsia" w:ascii="宋体" w:hAnsi="宋体" w:eastAsia="宋体" w:cs="宋体"/>
          <w:b/>
          <w:sz w:val="22"/>
          <w:u w:val="none"/>
          <w:lang w:val="en-US" w:eastAsia="zh-CN"/>
        </w:rPr>
        <w:t>15</w:t>
      </w:r>
      <w:r>
        <w:rPr>
          <w:rFonts w:ascii="宋体" w:hAnsi="宋体" w:eastAsia="宋体" w:cs="宋体"/>
          <w:b/>
          <w:sz w:val="22"/>
          <w:u w:val="none"/>
        </w:rPr>
        <w:t>%/年，每个自然日计提，按月收取。销售服务费精确到小数点后2位，小数点2位以后舍位。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G</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G</w:t>
      </w:r>
      <w:r>
        <w:rPr>
          <w:rFonts w:ascii="宋体" w:hAnsi="宋体" w:eastAsia="宋体" w:cs="宋体"/>
          <w:b/>
          <w:sz w:val="22"/>
          <w:u w:val="none"/>
        </w:rPr>
        <w:t>份额净资产×0.</w:t>
      </w:r>
      <w:r>
        <w:rPr>
          <w:rFonts w:hint="eastAsia" w:ascii="宋体" w:hAnsi="宋体" w:eastAsia="宋体" w:cs="宋体"/>
          <w:b/>
          <w:sz w:val="22"/>
          <w:u w:val="none"/>
          <w:lang w:val="en-US" w:eastAsia="zh-CN"/>
        </w:rPr>
        <w:t>15</w:t>
      </w:r>
      <w:r>
        <w:rPr>
          <w:rFonts w:ascii="宋体" w:hAnsi="宋体" w:eastAsia="宋体" w:cs="宋体"/>
          <w:b/>
          <w:sz w:val="22"/>
          <w:u w:val="none"/>
        </w:rPr>
        <w:t>%÷365</w:t>
      </w:r>
    </w:p>
    <w:p>
      <w:pPr>
        <w:numPr>
          <w:ilvl w:val="0"/>
          <w:numId w:val="26"/>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8"/>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31"/>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30"/>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32"/>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pPr>
      <w:r>
        <w:rPr>
          <w:rFonts w:ascii="宋体" w:hAnsi="宋体" w:eastAsia="宋体" w:cs="宋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10E55"/>
    <w:rsid w:val="05DC6AAE"/>
    <w:rsid w:val="0C035EFE"/>
    <w:rsid w:val="0D426DBE"/>
    <w:rsid w:val="15D74687"/>
    <w:rsid w:val="1B146520"/>
    <w:rsid w:val="1F0721E0"/>
    <w:rsid w:val="27E337C8"/>
    <w:rsid w:val="293E6183"/>
    <w:rsid w:val="2D946260"/>
    <w:rsid w:val="2EBF2512"/>
    <w:rsid w:val="383A1DD0"/>
    <w:rsid w:val="4FF13494"/>
    <w:rsid w:val="541678BC"/>
    <w:rsid w:val="5766618C"/>
    <w:rsid w:val="628A270F"/>
    <w:rsid w:val="6A66352F"/>
    <w:rsid w:val="6B695C5F"/>
    <w:rsid w:val="6BE56D64"/>
    <w:rsid w:val="767A6A3C"/>
    <w:rsid w:val="78777EE2"/>
    <w:rsid w:val="7EA5510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33</Pages>
  <TotalTime>5</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2025-09-24T09:03:00Z</dcterms:created>
  <dc:creator>80324358</dc:creator>
  <cp:lastModifiedBy>80324358</cp:lastModifiedBy>
  <dcterms:modified xsi:type="dcterms:W3CDTF">2026-06-16T01:40:50Z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319A1F2C336B416088BF1E2285E1FBDC</vt:lpwstr>
  </property>
</Properties>
</file>