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A4088D">
      <w:pPr>
        <w:widowControl/>
        <w:jc w:val="center"/>
        <w:rPr>
          <w:rFonts w:ascii="宋体" w:hAnsi="宋体" w:cs="Arial"/>
          <w:b/>
          <w:sz w:val="24"/>
          <w:szCs w:val="28"/>
        </w:rPr>
      </w:pPr>
      <w:bookmarkStart w:id="0" w:name="_GoBack"/>
      <w:bookmarkEnd w:id="0"/>
      <w:r>
        <w:rPr>
          <w:rFonts w:ascii="宋体" w:hAnsi="宋体" w:cs="Arial" w:hint="eastAsia"/>
          <w:b/>
          <w:sz w:val="24"/>
          <w:szCs w:val="28"/>
        </w:rPr>
        <w:t>招银理财招赢日日金105号现金管理类理财计划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A4088D">
        <w:rPr>
          <w:rFonts w:ascii="宋体" w:hAnsi="宋体" w:cs="Arial" w:hint="eastAsia"/>
          <w:b/>
          <w:sz w:val="24"/>
          <w:szCs w:val="28"/>
        </w:rPr>
        <w:t>8105</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指对管理人（包括本理财计划的理财产品管理人、所投资的信托计划/资管计划</w:t>
      </w:r>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A4088D">
        <w:rPr>
          <w:rFonts w:asciiTheme="minorEastAsia" w:eastAsiaTheme="minorEastAsia" w:hAnsiTheme="minorEastAsia" w:hint="eastAsia"/>
          <w:bCs/>
          <w:sz w:val="22"/>
          <w:szCs w:val="22"/>
        </w:rPr>
        <w:t>招银理财招赢日日金105号现金管理类理财计划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指根据适用法律和理财计划文件规定，理财计划应缴纳和承担的税收和有权政府部门向理财计划征收的规费。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指投资者因持有理财计划份额，按照销售文件约定取得或有权取得的理财产品管理人分配的理财计划资产。在理财计划对外投资资产正常回收的情况下，该等财产性利益包括初始投资本金及理财计划收益。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：指计算评估理财计划资产以确定理财计划每万份收益和七日年化收益率的过程。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理财计划存续期间，每个自然日为估值日。招银理财于每个自然日计算理财计划每万份收益和七日年化收益率。招银理财于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该事件妨碍、影响或延误任何一方依相关</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含协议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A4088D">
            <w:pPr>
              <w:rPr>
                <w:rFonts w:ascii="宋体" w:hAnsi="宋体"/>
                <w:sz w:val="22"/>
                <w:szCs w:val="22"/>
              </w:rPr>
            </w:pPr>
            <w:r>
              <w:rPr>
                <w:rFonts w:ascii="宋体" w:hAnsi="宋体" w:hint="eastAsia"/>
                <w:sz w:val="22"/>
                <w:szCs w:val="22"/>
              </w:rPr>
              <w:t>招银理财招赢日日金105号现金管理类理财计划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8105</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A4088D" w:rsidRPr="00A4088D">
              <w:rPr>
                <w:rFonts w:asciiTheme="minorEastAsia" w:eastAsiaTheme="minorEastAsia" w:hAnsiTheme="minorEastAsia"/>
                <w:sz w:val="22"/>
                <w:szCs w:val="22"/>
              </w:rPr>
              <w:t>Z7001625000547</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A4088D">
              <w:rPr>
                <w:rFonts w:ascii="宋体" w:hAnsi="宋体" w:hint="eastAsia"/>
                <w:sz w:val="22"/>
                <w:szCs w:val="22"/>
              </w:rPr>
              <w:t>8105</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A4088D">
              <w:rPr>
                <w:rFonts w:ascii="宋体" w:hAnsi="宋体" w:cs="宋体" w:hint="eastAsia"/>
                <w:sz w:val="22"/>
              </w:rPr>
              <w:t>105</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8F5409" w:rsidRDefault="008F5409" w:rsidP="0052697B">
            <w:pPr>
              <w:rPr>
                <w:rFonts w:ascii="宋体" w:hAnsi="宋体"/>
                <w:sz w:val="22"/>
                <w:szCs w:val="22"/>
              </w:rPr>
            </w:pPr>
            <w:r>
              <w:rPr>
                <w:rFonts w:ascii="宋体" w:hAnsi="宋体" w:cs="宋体"/>
                <w:sz w:val="22"/>
              </w:rPr>
              <w:t>N份额（销售代码810</w:t>
            </w:r>
            <w:r>
              <w:rPr>
                <w:rFonts w:ascii="宋体" w:hAnsi="宋体" w:cs="宋体" w:hint="eastAsia"/>
                <w:sz w:val="22"/>
              </w:rPr>
              <w:t>5</w:t>
            </w:r>
            <w:r>
              <w:rPr>
                <w:rFonts w:ascii="宋体" w:hAnsi="宋体" w:cs="宋体"/>
                <w:sz w:val="22"/>
              </w:rPr>
              <w:t>N）：非招商银行投资者</w:t>
            </w:r>
          </w:p>
          <w:p w:rsidR="008F5409" w:rsidRPr="00B67A08" w:rsidRDefault="008F5409" w:rsidP="00B67A08">
            <w:pPr>
              <w:spacing w:line="300" w:lineRule="auto"/>
            </w:pPr>
            <w:r>
              <w:rPr>
                <w:rFonts w:ascii="宋体" w:hAnsi="宋体" w:cs="宋体"/>
                <w:sz w:val="22"/>
              </w:rPr>
              <w:t>K份额（销售代码810</w:t>
            </w:r>
            <w:r>
              <w:rPr>
                <w:rFonts w:ascii="宋体" w:hAnsi="宋体" w:cs="宋体" w:hint="eastAsia"/>
                <w:sz w:val="22"/>
              </w:rPr>
              <w:t>5</w:t>
            </w:r>
            <w:r>
              <w:rPr>
                <w:rFonts w:ascii="宋体" w:hAnsi="宋体" w:cs="宋体"/>
                <w:sz w:val="22"/>
              </w:rPr>
              <w:t>K）：非招商银行投资者</w:t>
            </w:r>
          </w:p>
          <w:p w:rsidR="008F5409" w:rsidRDefault="008F5409" w:rsidP="008F5409">
            <w:pPr>
              <w:spacing w:line="300" w:lineRule="auto"/>
              <w:rPr>
                <w:rFonts w:ascii="宋体" w:hAnsi="宋体" w:cs="宋体"/>
                <w:sz w:val="22"/>
              </w:rPr>
            </w:pPr>
            <w:r>
              <w:rPr>
                <w:rFonts w:ascii="宋体" w:hAnsi="宋体" w:cs="宋体"/>
                <w:sz w:val="22"/>
              </w:rPr>
              <w:t>P份额（销售代码810</w:t>
            </w:r>
            <w:r>
              <w:rPr>
                <w:rFonts w:ascii="宋体" w:hAnsi="宋体" w:cs="宋体" w:hint="eastAsia"/>
                <w:sz w:val="22"/>
              </w:rPr>
              <w:t>5</w:t>
            </w:r>
            <w:r>
              <w:rPr>
                <w:rFonts w:ascii="宋体" w:hAnsi="宋体" w:cs="宋体"/>
                <w:sz w:val="22"/>
              </w:rPr>
              <w:t>P）：非招商银行投资者</w:t>
            </w:r>
          </w:p>
          <w:p w:rsidR="008F5409" w:rsidRDefault="008F5409" w:rsidP="008F5409">
            <w:pPr>
              <w:spacing w:line="300" w:lineRule="auto"/>
            </w:pPr>
            <w:r>
              <w:rPr>
                <w:rFonts w:ascii="宋体" w:hAnsi="宋体" w:cs="宋体"/>
                <w:sz w:val="22"/>
              </w:rPr>
              <w:t>HN份额（销售代码810</w:t>
            </w:r>
            <w:r>
              <w:rPr>
                <w:rFonts w:ascii="宋体" w:hAnsi="宋体" w:cs="宋体" w:hint="eastAsia"/>
                <w:sz w:val="22"/>
              </w:rPr>
              <w:t>5</w:t>
            </w:r>
            <w:r>
              <w:rPr>
                <w:rFonts w:ascii="宋体" w:hAnsi="宋体" w:cs="宋体"/>
                <w:sz w:val="22"/>
              </w:rPr>
              <w:t>HN）：非招商银行投资者</w:t>
            </w:r>
          </w:p>
          <w:p w:rsidR="008F5409" w:rsidRDefault="008F5409" w:rsidP="008F5409">
            <w:pPr>
              <w:rPr>
                <w:rFonts w:ascii="宋体" w:hAnsi="宋体" w:cs="宋体"/>
                <w:sz w:val="22"/>
              </w:rPr>
            </w:pPr>
            <w:r>
              <w:rPr>
                <w:rFonts w:ascii="宋体" w:hAnsi="宋体" w:cs="宋体"/>
                <w:sz w:val="22"/>
              </w:rPr>
              <w:t>RF份额（销售代码810</w:t>
            </w:r>
            <w:r>
              <w:rPr>
                <w:rFonts w:ascii="宋体" w:hAnsi="宋体" w:cs="宋体" w:hint="eastAsia"/>
                <w:sz w:val="22"/>
              </w:rPr>
              <w:t>5</w:t>
            </w:r>
            <w:r>
              <w:rPr>
                <w:rFonts w:ascii="宋体" w:hAnsi="宋体" w:cs="宋体"/>
                <w:sz w:val="22"/>
              </w:rPr>
              <w:t>RF）：非招商银行投资者</w:t>
            </w:r>
          </w:p>
          <w:p w:rsidR="00D363B9" w:rsidRPr="00D363B9" w:rsidRDefault="00D363B9" w:rsidP="004B1D7D">
            <w:pPr>
              <w:spacing w:line="300" w:lineRule="auto"/>
              <w:rPr>
                <w:rFonts w:ascii="宋体" w:hAnsi="宋体" w:cs="宋体"/>
                <w:sz w:val="22"/>
              </w:rPr>
            </w:pPr>
            <w:r>
              <w:rPr>
                <w:rFonts w:ascii="宋体" w:hAnsi="宋体" w:cs="宋体"/>
                <w:sz w:val="22"/>
              </w:rPr>
              <w:t>MS份额（销售代码810</w:t>
            </w:r>
            <w:r>
              <w:rPr>
                <w:rFonts w:ascii="宋体" w:hAnsi="宋体" w:cs="宋体" w:hint="eastAsia"/>
                <w:sz w:val="22"/>
              </w:rPr>
              <w:t>5</w:t>
            </w:r>
            <w:r>
              <w:rPr>
                <w:rFonts w:ascii="宋体" w:hAnsi="宋体" w:cs="宋体"/>
                <w:sz w:val="22"/>
              </w:rPr>
              <w:t>MS）：非招商银行投资者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lastRenderedPageBreak/>
              <w:t>HN</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份额：发行规模上限100亿元。</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份额：发行规模上限100亿元。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8F5409" w:rsidRDefault="008F5409" w:rsidP="008F5409">
            <w:pPr>
              <w:rPr>
                <w:rFonts w:ascii="宋体" w:hAnsi="宋体"/>
                <w:sz w:val="22"/>
                <w:szCs w:val="22"/>
              </w:rPr>
            </w:pPr>
            <w:r>
              <w:rPr>
                <w:rFonts w:ascii="宋体" w:hAnsi="宋体"/>
                <w:sz w:val="22"/>
                <w:szCs w:val="22"/>
              </w:rPr>
              <w:t>HN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HN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H</w:t>
            </w:r>
            <w:r>
              <w:rPr>
                <w:rFonts w:asciiTheme="minorEastAsia" w:eastAsiaTheme="minorEastAsia" w:hAnsiTheme="minorEastAsia"/>
                <w:sz w:val="22"/>
                <w:szCs w:val="22"/>
              </w:rPr>
              <w:t>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RF</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本理财计划RF</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D363B9" w:rsidRPr="00D363B9" w:rsidRDefault="00D363B9" w:rsidP="00D363B9">
            <w:pPr>
              <w:rPr>
                <w:rFonts w:asciiTheme="minorEastAsia" w:eastAsiaTheme="minorEastAsia" w:hAnsiTheme="minorEastAsia"/>
                <w:sz w:val="22"/>
                <w:szCs w:val="22"/>
              </w:rPr>
            </w:pPr>
            <w:r>
              <w:rPr>
                <w:rFonts w:asciiTheme="minorEastAsia" w:eastAsiaTheme="minorEastAsia" w:hAnsiTheme="minorEastAsia"/>
                <w:sz w:val="22"/>
                <w:szCs w:val="22"/>
              </w:rPr>
              <w:t>MS</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本理财计划MS</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11</w:t>
            </w:r>
            <w:r>
              <w:rPr>
                <w:rFonts w:ascii="宋体" w:hAnsi="宋体" w:hint="eastAsia"/>
                <w:sz w:val="22"/>
                <w:szCs w:val="22"/>
              </w:rPr>
              <w:t>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2025年6月</w:t>
            </w:r>
            <w:r w:rsidR="00EB71BE">
              <w:rPr>
                <w:rFonts w:ascii="宋体" w:hAnsi="宋体" w:hint="eastAsia"/>
                <w:sz w:val="22"/>
                <w:szCs w:val="22"/>
              </w:rPr>
              <w:t>12</w:t>
            </w:r>
            <w:r>
              <w:rPr>
                <w:rFonts w:ascii="宋体" w:hAnsi="宋体" w:hint="eastAsia"/>
                <w:sz w:val="22"/>
                <w:szCs w:val="22"/>
              </w:rPr>
              <w:t>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lastRenderedPageBreak/>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CF4C46" w:rsidP="00EB71BE">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CF4C46">
              <w:rPr>
                <w:rFonts w:ascii="宋体" w:hAnsi="宋体" w:hint="eastAsia"/>
                <w:sz w:val="22"/>
                <w:szCs w:val="22"/>
              </w:rPr>
              <w:t>2055年6月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w:t>
            </w:r>
            <w:r>
              <w:rPr>
                <w:rFonts w:asciiTheme="minorEastAsia" w:eastAsiaTheme="minorEastAsia" w:hAnsiTheme="minorEastAsia" w:hint="eastAsia"/>
                <w:sz w:val="22"/>
                <w:szCs w:val="22"/>
              </w:rPr>
              <w:t>如遇非工作日顺延至下一个工作日。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在理财计划存续期间发生任一理财计划终止事件的，本理财计划有可能终止。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K</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P</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，H</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RF</w:t>
            </w:r>
            <w:r w:rsidR="00A6004E" w:rsidRPr="00E11F6F">
              <w:rPr>
                <w:rFonts w:asciiTheme="minorEastAsia" w:eastAsiaTheme="minorEastAsia" w:hAnsiTheme="minorEastAsia"/>
                <w:b/>
                <w:sz w:val="22"/>
                <w:szCs w:val="22"/>
              </w:rPr>
              <w:t>份额销售服务费率0.20%/年</w:t>
            </w:r>
            <w:r w:rsidR="00D363B9">
              <w:rPr>
                <w:rFonts w:asciiTheme="minorEastAsia" w:eastAsiaTheme="minorEastAsia" w:hAnsiTheme="minorEastAsia" w:hint="eastAsia"/>
                <w:b/>
                <w:sz w:val="22"/>
                <w:szCs w:val="22"/>
              </w:rPr>
              <w:t>，</w:t>
            </w:r>
            <w:r w:rsidR="00D363B9">
              <w:rPr>
                <w:rFonts w:asciiTheme="minorEastAsia" w:eastAsiaTheme="minorEastAsia" w:hAnsiTheme="minorEastAsia"/>
                <w:b/>
                <w:sz w:val="22"/>
                <w:szCs w:val="22"/>
              </w:rPr>
              <w:t>MS</w:t>
            </w:r>
            <w:r w:rsidR="00D363B9" w:rsidRPr="00E11F6F">
              <w:rPr>
                <w:rFonts w:asciiTheme="minorEastAsia" w:eastAsiaTheme="minorEastAsia" w:hAnsiTheme="minorEastAsia"/>
                <w:b/>
                <w:sz w:val="22"/>
                <w:szCs w:val="22"/>
              </w:rPr>
              <w:t>份额销售服务费率0.</w:t>
            </w:r>
            <w:r w:rsidR="00D363B9">
              <w:rPr>
                <w:rFonts w:asciiTheme="minorEastAsia" w:eastAsiaTheme="minorEastAsia" w:hAnsiTheme="minorEastAsia"/>
                <w:b/>
                <w:sz w:val="22"/>
                <w:szCs w:val="22"/>
              </w:rPr>
              <w:t>15</w:t>
            </w:r>
            <w:r w:rsidR="00D363B9"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本理财计划在投资运作过程中，所投资产可能因招商银行股份有限公司或其它机构提供管理服务而产生资产服务费等相关费用。管理人将根据费用实</w:t>
            </w:r>
            <w:r w:rsidRPr="00E11F6F">
              <w:rPr>
                <w:rFonts w:ascii="宋体" w:hAnsi="宋体" w:hint="eastAsia"/>
                <w:b/>
                <w:sz w:val="22"/>
              </w:rPr>
              <w:lastRenderedPageBreak/>
              <w:t>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交易费用（包括但不限于交易佣金、印花税、过户费、撮合费用等）、理财计划验资费、审计费、信息披露费、清算费、执行费用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r>
              <w:rPr>
                <w:rFonts w:asciiTheme="minorEastAsia" w:eastAsiaTheme="minorEastAsia" w:hAnsiTheme="minorEastAsia" w:hint="eastAsia"/>
                <w:b/>
                <w:sz w:val="22"/>
                <w:szCs w:val="22"/>
              </w:rPr>
              <w:t>就期间分配而言，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本理财计划根据每日收益情况，将当日收益全部计提，若当日收益大于零时，为投资者记正收益；若当日收益小于零时，为投资者记</w:t>
            </w:r>
            <w:r>
              <w:rPr>
                <w:rFonts w:ascii="宋体" w:hAnsi="宋体" w:cs="宋体" w:hint="eastAsia"/>
                <w:sz w:val="22"/>
                <w:szCs w:val="22"/>
              </w:rPr>
              <w:lastRenderedPageBreak/>
              <w:t>负收益；若当日收益等于零时，当日投资者不记收益。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公布理财计划每万份收益和七日年化收益率。详细内容见以下“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r>
              <w:rPr>
                <w:rFonts w:asciiTheme="minorEastAsia" w:eastAsiaTheme="minorEastAsia" w:hAnsiTheme="minorEastAsia" w:hint="eastAsia"/>
                <w:sz w:val="22"/>
                <w:szCs w:val="22"/>
              </w:rPr>
              <w:t>期开放申购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w:t>
            </w:r>
            <w:r>
              <w:rPr>
                <w:rFonts w:asciiTheme="minorEastAsia" w:eastAsiaTheme="minorEastAsia" w:hAnsiTheme="minorEastAsia" w:hint="eastAsia"/>
                <w:sz w:val="22"/>
                <w:szCs w:val="22"/>
              </w:rPr>
              <w:lastRenderedPageBreak/>
              <w:t>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lastRenderedPageBreak/>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w:t>
      </w:r>
      <w:r>
        <w:rPr>
          <w:rFonts w:asciiTheme="minorEastAsia" w:eastAsiaTheme="minorEastAsia" w:hAnsiTheme="minorEastAsia" w:hint="eastAsia"/>
          <w:sz w:val="22"/>
          <w:szCs w:val="22"/>
        </w:rPr>
        <w:lastRenderedPageBreak/>
        <w:t>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lastRenderedPageBreak/>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在开放日前一工作日内，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7个工作日可变现资产的可变现价值应当不低于本产品净资产的10%。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lastRenderedPageBreak/>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含公募基金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lastRenderedPageBreak/>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A6004E">
        <w:rPr>
          <w:rFonts w:asciiTheme="minorEastAsia" w:eastAsiaTheme="minorEastAsia" w:hAnsiTheme="minorEastAsia" w:cs="Arial" w:hint="eastAsia"/>
          <w:sz w:val="22"/>
          <w:szCs w:val="22"/>
        </w:rPr>
        <w:t>、中国银行、宁波银行、</w:t>
      </w:r>
      <w:r w:rsidR="001E3DD8">
        <w:rPr>
          <w:rFonts w:asciiTheme="minorEastAsia" w:eastAsiaTheme="minorEastAsia" w:hAnsiTheme="minorEastAsia" w:cs="Arial" w:hint="eastAsia"/>
          <w:sz w:val="22"/>
          <w:szCs w:val="22"/>
        </w:rPr>
        <w:t>福建</w:t>
      </w:r>
      <w:r w:rsidR="00A6004E">
        <w:rPr>
          <w:rFonts w:asciiTheme="minorEastAsia" w:eastAsiaTheme="minorEastAsia" w:hAnsiTheme="minorEastAsia" w:cs="Arial" w:hint="eastAsia"/>
          <w:sz w:val="22"/>
          <w:szCs w:val="22"/>
        </w:rPr>
        <w:t>海峡银行、湖南银行、台州银行、泰隆银行</w:t>
      </w:r>
      <w:r w:rsidR="00D363B9">
        <w:rPr>
          <w:rFonts w:asciiTheme="minorEastAsia" w:eastAsiaTheme="minorEastAsia" w:hAnsiTheme="minorEastAsia" w:cs="Arial" w:hint="eastAsia"/>
          <w:sz w:val="22"/>
          <w:szCs w:val="22"/>
        </w:rPr>
        <w:t>、民生银行</w:t>
      </w:r>
      <w:r w:rsidR="007B7BE3">
        <w:rPr>
          <w:rFonts w:asciiTheme="minorEastAsia" w:eastAsiaTheme="minorEastAsia" w:hAnsiTheme="minorEastAsia" w:cs="Arial" w:hint="eastAsia"/>
          <w:sz w:val="22"/>
          <w:szCs w:val="22"/>
        </w:rPr>
        <w:t>、赣州银行、日照银行</w:t>
      </w:r>
      <w:r w:rsidR="005876BB">
        <w:rPr>
          <w:rFonts w:asciiTheme="minorEastAsia" w:eastAsiaTheme="minorEastAsia" w:hAnsiTheme="minorEastAsia" w:cs="Arial" w:hint="eastAsia"/>
          <w:sz w:val="22"/>
          <w:szCs w:val="22"/>
        </w:rPr>
        <w:t>、南浔农商银行、余杭农商银行、苏州农商银行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Pr>
                <w:rFonts w:ascii="宋体" w:hAnsi="宋体" w:cs="Arial" w:hint="eastAsia"/>
                <w:sz w:val="22"/>
              </w:rPr>
              <w:t>中国银行股份有限公司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北京市</w:t>
            </w:r>
            <w:r>
              <w:rPr>
                <w:rFonts w:ascii="宋体" w:hAnsi="宋体" w:cs="Arial"/>
                <w:sz w:val="22"/>
              </w:rPr>
              <w:t>西城区复兴门内大街</w:t>
            </w:r>
            <w:r>
              <w:rPr>
                <w:rFonts w:ascii="宋体" w:hAnsi="宋体" w:cs="Arial" w:hint="eastAsia"/>
                <w:sz w:val="22"/>
              </w:rPr>
              <w:t>1号中银大厦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95566</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2243B9">
              <w:rPr>
                <w:rFonts w:ascii="宋体" w:hAnsi="宋体" w:cs="Arial"/>
                <w:sz w:val="22"/>
              </w:rPr>
              <w:t>浙江省宁波市鄞州区宁东路345号宁波银行大厦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4C3AB3">
              <w:rPr>
                <w:rFonts w:ascii="宋体" w:hAnsi="宋体" w:cs="Arial"/>
                <w:sz w:val="22"/>
              </w:rPr>
              <w:t>95574</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8A7C1A">
              <w:rPr>
                <w:rFonts w:ascii="宋体" w:hAnsi="宋体" w:cs="宋体"/>
                <w:sz w:val="22"/>
              </w:rPr>
              <w:t>湖南银行股份有限公司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湖南省长沙市天心区湘江中路二段210号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0731-96599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浙江省台州市椒江区市府大道699号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sz w:val="22"/>
              </w:rPr>
              <w:t>95371</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DD3E3B" w:rsidTr="004B1D7D">
        <w:trPr>
          <w:jc w:val="center"/>
        </w:trPr>
        <w:tc>
          <w:tcPr>
            <w:tcW w:w="2509" w:type="dxa"/>
            <w:vMerge/>
            <w:tcBorders>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D363B9" w:rsidTr="00F5657E">
        <w:trPr>
          <w:jc w:val="center"/>
        </w:trPr>
        <w:tc>
          <w:tcPr>
            <w:tcW w:w="2509" w:type="dxa"/>
            <w:vMerge w:val="restart"/>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r>
              <w:rPr>
                <w:rFonts w:ascii="宋体" w:hAnsi="宋体" w:cs="Arial" w:hint="eastAsia"/>
                <w:sz w:val="22"/>
              </w:rPr>
              <w:t>中国民生银行股份有限公司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北京市西城区复兴门内大街2号</w:t>
            </w:r>
          </w:p>
        </w:tc>
      </w:tr>
      <w:tr w:rsidR="00D363B9" w:rsidTr="002D06BB">
        <w:trPr>
          <w:jc w:val="center"/>
        </w:trPr>
        <w:tc>
          <w:tcPr>
            <w:tcW w:w="2509" w:type="dxa"/>
            <w:vMerge/>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5568</w:t>
            </w:r>
          </w:p>
        </w:tc>
      </w:tr>
      <w:tr w:rsidR="007B7BE3" w:rsidTr="00A2145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422F18">
              <w:rPr>
                <w:rFonts w:ascii="宋体" w:hAnsi="宋体" w:cs="Arial"/>
                <w:sz w:val="22"/>
              </w:rPr>
              <w:lastRenderedPageBreak/>
              <w:t>赣州银行股份有限公司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江西省赣州市赣江源大道26号</w:t>
            </w:r>
          </w:p>
        </w:tc>
      </w:tr>
      <w:tr w:rsidR="007B7BE3" w:rsidTr="00A2145D">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0797-96296</w:t>
            </w:r>
          </w:p>
        </w:tc>
      </w:tr>
      <w:tr w:rsidR="007B7BE3" w:rsidTr="000544C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6D461E">
              <w:rPr>
                <w:rFonts w:ascii="宋体" w:hAnsi="宋体" w:cs="宋体"/>
                <w:sz w:val="22"/>
              </w:rPr>
              <w:t>日照银行股份有限公司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日照市烟台路197号</w:t>
            </w:r>
          </w:p>
        </w:tc>
      </w:tr>
      <w:tr w:rsidR="007B7BE3" w:rsidTr="002D06BB">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400-68-96588</w:t>
            </w:r>
          </w:p>
        </w:tc>
      </w:tr>
      <w:tr w:rsidR="005876BB" w:rsidTr="00035106">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B159FD">
              <w:rPr>
                <w:rFonts w:ascii="宋体" w:hAnsi="宋体" w:cs="宋体"/>
                <w:sz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浙江省湖州市南浔区南浔镇人瑞路1188号</w:t>
            </w:r>
          </w:p>
        </w:tc>
      </w:tr>
      <w:tr w:rsidR="005876BB" w:rsidTr="00035106">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96596</w:t>
            </w:r>
          </w:p>
        </w:tc>
      </w:tr>
      <w:tr w:rsidR="005876BB" w:rsidTr="00C02680">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浙江省杭州市临平区南苑街道南大街72号</w:t>
            </w:r>
          </w:p>
        </w:tc>
      </w:tr>
      <w:tr w:rsidR="005876BB" w:rsidTr="00C02680">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4008896596</w:t>
            </w:r>
          </w:p>
        </w:tc>
      </w:tr>
      <w:tr w:rsidR="005876BB" w:rsidTr="0096105A">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5876BB" w:rsidTr="00B67A08">
        <w:trPr>
          <w:jc w:val="center"/>
        </w:trPr>
        <w:tc>
          <w:tcPr>
            <w:tcW w:w="2509" w:type="dxa"/>
            <w:vMerge/>
            <w:tcBorders>
              <w:left w:val="single" w:sz="4" w:space="0" w:color="000000"/>
              <w:bottom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956111</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E2529E">
        <w:rPr>
          <w:rFonts w:ascii="宋体" w:hAnsi="宋体"/>
          <w:sz w:val="22"/>
          <w:szCs w:val="22"/>
        </w:rPr>
        <w:t>，N</w:t>
      </w:r>
      <w:r w:rsidR="00E2529E">
        <w:rPr>
          <w:rFonts w:ascii="宋体" w:hAnsi="宋体" w:hint="eastAsia"/>
          <w:sz w:val="22"/>
          <w:szCs w:val="22"/>
        </w:rPr>
        <w:t>份额发行规模上限100亿元</w:t>
      </w:r>
      <w:r w:rsidR="00E2529E">
        <w:rPr>
          <w:rFonts w:ascii="宋体" w:hAnsi="宋体"/>
          <w:sz w:val="22"/>
          <w:szCs w:val="22"/>
        </w:rPr>
        <w:t>，K</w:t>
      </w:r>
      <w:r w:rsidR="00E2529E">
        <w:rPr>
          <w:rFonts w:ascii="宋体" w:hAnsi="宋体" w:hint="eastAsia"/>
          <w:sz w:val="22"/>
          <w:szCs w:val="22"/>
        </w:rPr>
        <w:t>份额发行规模上限100亿元</w:t>
      </w:r>
      <w:r w:rsidR="00E2529E">
        <w:rPr>
          <w:rFonts w:ascii="宋体" w:hAnsi="宋体"/>
          <w:sz w:val="22"/>
          <w:szCs w:val="22"/>
        </w:rPr>
        <w:t>，P</w:t>
      </w:r>
      <w:r w:rsidR="00E2529E">
        <w:rPr>
          <w:rFonts w:ascii="宋体" w:hAnsi="宋体" w:hint="eastAsia"/>
          <w:sz w:val="22"/>
          <w:szCs w:val="22"/>
        </w:rPr>
        <w:t>份额发行规模上限100亿元</w:t>
      </w:r>
      <w:r w:rsidR="00E2529E">
        <w:rPr>
          <w:rFonts w:ascii="宋体" w:hAnsi="宋体"/>
          <w:sz w:val="22"/>
          <w:szCs w:val="22"/>
        </w:rPr>
        <w:t>，HN</w:t>
      </w:r>
      <w:r w:rsidR="00E2529E">
        <w:rPr>
          <w:rFonts w:ascii="宋体" w:hAnsi="宋体" w:hint="eastAsia"/>
          <w:sz w:val="22"/>
          <w:szCs w:val="22"/>
        </w:rPr>
        <w:t>份额发行规模上限100亿元</w:t>
      </w:r>
      <w:r w:rsidR="00E2529E">
        <w:rPr>
          <w:rFonts w:ascii="宋体" w:hAnsi="宋体"/>
          <w:sz w:val="22"/>
          <w:szCs w:val="22"/>
        </w:rPr>
        <w:t>，RF</w:t>
      </w:r>
      <w:r w:rsidR="00E2529E">
        <w:rPr>
          <w:rFonts w:ascii="宋体" w:hAnsi="宋体" w:hint="eastAsia"/>
          <w:sz w:val="22"/>
          <w:szCs w:val="22"/>
        </w:rPr>
        <w:t>份额发行规模上限100亿元</w:t>
      </w:r>
      <w:r w:rsidR="003340DA">
        <w:rPr>
          <w:rFonts w:ascii="宋体" w:hAnsi="宋体"/>
          <w:sz w:val="22"/>
          <w:szCs w:val="22"/>
        </w:rPr>
        <w:t>，MS</w:t>
      </w:r>
      <w:r w:rsidR="003340DA">
        <w:rPr>
          <w:rFonts w:ascii="宋体" w:hAnsi="宋体" w:hint="eastAsia"/>
          <w:sz w:val="22"/>
          <w:szCs w:val="22"/>
        </w:rPr>
        <w:t>份额发行规模上限100亿元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CF4C46">
        <w:rPr>
          <w:rFonts w:ascii="宋体" w:hAnsi="宋体" w:hint="eastAsia"/>
          <w:sz w:val="22"/>
          <w:szCs w:val="22"/>
        </w:rPr>
        <w:t>2025年6月</w:t>
      </w:r>
      <w:r w:rsidR="00EB71BE">
        <w:rPr>
          <w:rFonts w:ascii="宋体" w:hAnsi="宋体" w:hint="eastAsia"/>
          <w:sz w:val="22"/>
          <w:szCs w:val="22"/>
        </w:rPr>
        <w:t>11</w:t>
      </w:r>
      <w:r w:rsidR="00CF4C46">
        <w:rPr>
          <w:rFonts w:ascii="宋体" w:hAnsi="宋体" w:hint="eastAsia"/>
          <w:sz w:val="22"/>
          <w:szCs w:val="22"/>
        </w:rPr>
        <w:t>日</w:t>
      </w:r>
      <w:r>
        <w:rPr>
          <w:rFonts w:ascii="宋体" w:hAnsi="宋体" w:hint="eastAsia"/>
          <w:sz w:val="22"/>
          <w:szCs w:val="22"/>
        </w:rPr>
        <w:t>9</w:t>
      </w:r>
      <w:r>
        <w:rPr>
          <w:rFonts w:ascii="宋体" w:hAnsi="宋体"/>
          <w:sz w:val="22"/>
          <w:szCs w:val="22"/>
        </w:rPr>
        <w:t>:00到</w:t>
      </w:r>
      <w:r w:rsidR="00CF4C46">
        <w:rPr>
          <w:rFonts w:ascii="宋体" w:hAnsi="宋体" w:hint="eastAsia"/>
          <w:sz w:val="22"/>
          <w:szCs w:val="22"/>
        </w:rPr>
        <w:t>2025年6月</w:t>
      </w:r>
      <w:r w:rsidR="00EB71BE">
        <w:rPr>
          <w:rFonts w:ascii="宋体" w:hAnsi="宋体" w:hint="eastAsia"/>
          <w:sz w:val="22"/>
          <w:szCs w:val="22"/>
        </w:rPr>
        <w:t>12</w:t>
      </w:r>
      <w:r w:rsidR="00CF4C46">
        <w:rPr>
          <w:rFonts w:ascii="宋体" w:hAnsi="宋体" w:hint="eastAsia"/>
          <w:sz w:val="22"/>
          <w:szCs w:val="22"/>
        </w:rPr>
        <w:t>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CF4C46">
        <w:rPr>
          <w:rFonts w:ascii="宋体" w:hAnsi="宋体" w:hint="eastAsia"/>
          <w:sz w:val="22"/>
          <w:szCs w:val="22"/>
        </w:rPr>
        <w:t>2025年6月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的整数倍</w:t>
      </w:r>
      <w:r w:rsidR="00C82D55">
        <w:rPr>
          <w:rFonts w:ascii="宋体" w:hAnsi="宋体" w:hint="eastAsia"/>
          <w:sz w:val="22"/>
          <w:szCs w:val="22"/>
        </w:rPr>
        <w:t>。</w:t>
      </w:r>
      <w:r w:rsidR="00E2529E">
        <w:rPr>
          <w:rFonts w:ascii="宋体" w:hAnsi="宋体"/>
          <w:sz w:val="22"/>
          <w:szCs w:val="22"/>
        </w:rPr>
        <w:t>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的整数倍</w:t>
      </w:r>
      <w:r w:rsidR="00C82D55">
        <w:rPr>
          <w:rFonts w:ascii="宋体" w:hAnsi="宋体" w:hint="eastAsia"/>
          <w:sz w:val="22"/>
          <w:szCs w:val="22"/>
        </w:rPr>
        <w:t>。</w:t>
      </w:r>
      <w:r w:rsidR="00E2529E">
        <w:rPr>
          <w:rFonts w:ascii="宋体" w:hAnsi="宋体"/>
          <w:sz w:val="22"/>
          <w:szCs w:val="22"/>
        </w:rPr>
        <w:t>K</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的整数倍</w:t>
      </w:r>
      <w:r w:rsidR="00C82D55">
        <w:rPr>
          <w:rFonts w:ascii="宋体" w:hAnsi="宋体" w:hint="eastAsia"/>
          <w:sz w:val="22"/>
          <w:szCs w:val="22"/>
        </w:rPr>
        <w:t>。</w:t>
      </w:r>
      <w:r w:rsidR="00E2529E">
        <w:rPr>
          <w:rFonts w:ascii="宋体" w:hAnsi="宋体"/>
          <w:sz w:val="22"/>
          <w:szCs w:val="22"/>
        </w:rPr>
        <w:t>P</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的整数倍</w:t>
      </w:r>
      <w:r w:rsidR="00C82D55">
        <w:rPr>
          <w:rFonts w:ascii="宋体" w:hAnsi="宋体" w:hint="eastAsia"/>
          <w:sz w:val="22"/>
          <w:szCs w:val="22"/>
        </w:rPr>
        <w:t>。</w:t>
      </w:r>
      <w:r w:rsidR="00E2529E">
        <w:rPr>
          <w:rFonts w:ascii="宋体" w:hAnsi="宋体"/>
          <w:sz w:val="22"/>
          <w:szCs w:val="22"/>
        </w:rPr>
        <w:t>HN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的整数倍</w:t>
      </w:r>
      <w:r w:rsidR="00C82D55">
        <w:rPr>
          <w:rFonts w:ascii="宋体" w:hAnsi="宋体" w:hint="eastAsia"/>
          <w:sz w:val="22"/>
          <w:szCs w:val="22"/>
        </w:rPr>
        <w:t>。</w:t>
      </w:r>
      <w:r w:rsidR="00E2529E">
        <w:rPr>
          <w:rFonts w:ascii="宋体" w:hAnsi="宋体"/>
          <w:sz w:val="22"/>
          <w:szCs w:val="22"/>
        </w:rPr>
        <w:t>RF</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的整数倍</w:t>
      </w:r>
      <w:r>
        <w:rPr>
          <w:rFonts w:ascii="宋体" w:hAnsi="宋体"/>
          <w:sz w:val="22"/>
          <w:szCs w:val="22"/>
        </w:rPr>
        <w:t>。</w:t>
      </w:r>
      <w:r w:rsidR="003340DA">
        <w:rPr>
          <w:rFonts w:ascii="宋体" w:hAnsi="宋体"/>
          <w:sz w:val="22"/>
          <w:szCs w:val="22"/>
        </w:rPr>
        <w:t>MS</w:t>
      </w:r>
      <w:r w:rsidR="003340DA">
        <w:rPr>
          <w:rFonts w:ascii="宋体" w:hAnsi="宋体" w:hint="eastAsia"/>
          <w:sz w:val="22"/>
          <w:szCs w:val="22"/>
        </w:rPr>
        <w:t>份额</w:t>
      </w:r>
      <w:r w:rsidR="003340DA">
        <w:rPr>
          <w:rFonts w:ascii="宋体" w:hAnsi="宋体"/>
          <w:sz w:val="22"/>
          <w:szCs w:val="22"/>
        </w:rPr>
        <w:t>投资者首次认购单笔最低限额为</w:t>
      </w:r>
      <w:r w:rsidR="003340DA">
        <w:rPr>
          <w:rFonts w:ascii="宋体" w:hAnsi="宋体" w:hint="eastAsia"/>
          <w:sz w:val="22"/>
          <w:szCs w:val="22"/>
        </w:rPr>
        <w:t>0.01</w:t>
      </w:r>
      <w:r w:rsidR="003340DA">
        <w:rPr>
          <w:rFonts w:ascii="宋体" w:hAnsi="宋体" w:hint="eastAsia"/>
          <w:sz w:val="22"/>
          <w:szCs w:val="22"/>
        </w:rPr>
        <w:lastRenderedPageBreak/>
        <w:t>元</w:t>
      </w:r>
      <w:r w:rsidR="003340DA">
        <w:rPr>
          <w:rFonts w:ascii="宋体" w:hAnsi="宋体"/>
          <w:sz w:val="22"/>
          <w:szCs w:val="22"/>
        </w:rPr>
        <w:t>，高于认购单笔最低限额的份额须为</w:t>
      </w:r>
      <w:r w:rsidR="003340DA">
        <w:rPr>
          <w:rFonts w:ascii="宋体" w:hAnsi="宋体" w:hint="eastAsia"/>
          <w:sz w:val="22"/>
          <w:szCs w:val="22"/>
        </w:rPr>
        <w:t>0.0</w:t>
      </w:r>
      <w:r w:rsidR="003340DA">
        <w:rPr>
          <w:rFonts w:ascii="宋体" w:hAnsi="宋体"/>
          <w:sz w:val="22"/>
          <w:szCs w:val="22"/>
        </w:rPr>
        <w:t>1</w:t>
      </w:r>
      <w:r w:rsidR="003340DA">
        <w:rPr>
          <w:rFonts w:ascii="宋体" w:hAnsi="宋体" w:hint="eastAsia"/>
          <w:sz w:val="22"/>
          <w:szCs w:val="22"/>
        </w:rPr>
        <w:t>元</w:t>
      </w:r>
      <w:r w:rsidR="003340DA">
        <w:rPr>
          <w:rFonts w:ascii="宋体" w:hAnsi="宋体"/>
          <w:sz w:val="22"/>
          <w:szCs w:val="22"/>
        </w:rPr>
        <w:t>的整数倍。</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份额规模上限中二者的较小值。H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份额规模上限中二者的较小值。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份额投资者单笔认购上限为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864CE6">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份额规模上限中的较小值。H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份额规模上限中的较小值。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w:t>
      </w:r>
      <w:r w:rsidR="003340DA">
        <w:rPr>
          <w:rFonts w:asciiTheme="minorEastAsia" w:eastAsiaTheme="minorEastAsia" w:hAnsiTheme="minorEastAsia"/>
          <w:b/>
          <w:sz w:val="22"/>
          <w:szCs w:val="22"/>
        </w:rPr>
        <w:t>投资者</w:t>
      </w:r>
      <w:r w:rsidR="003340DA">
        <w:rPr>
          <w:rFonts w:asciiTheme="minorEastAsia" w:eastAsiaTheme="minorEastAsia" w:hAnsiTheme="minorEastAsia" w:hint="eastAsia"/>
          <w:b/>
          <w:sz w:val="22"/>
          <w:szCs w:val="22"/>
        </w:rPr>
        <w:t>持仓上限为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如管理人在认购登记日根据投资者的认购申请为投资者成功登记认购份额，则视为投资者的认购申请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A10D73">
        <w:rPr>
          <w:rFonts w:asciiTheme="minorEastAsia" w:eastAsiaTheme="minorEastAsia" w:hAnsiTheme="minorEastAsia" w:cs="Arial"/>
          <w:sz w:val="22"/>
          <w:szCs w:val="22"/>
        </w:rPr>
        <w:t>N</w:t>
      </w:r>
      <w:r w:rsidR="00A10D73">
        <w:rPr>
          <w:rFonts w:asciiTheme="minorEastAsia" w:eastAsiaTheme="minorEastAsia" w:hAnsiTheme="minorEastAsia" w:cs="Arial" w:hint="eastAsia"/>
          <w:sz w:val="22"/>
          <w:szCs w:val="22"/>
        </w:rPr>
        <w:t>份额投资者剩余的各笔认购申请的认购金额合计</w:t>
      </w:r>
      <w:r w:rsidR="00A10D73">
        <w:rPr>
          <w:rFonts w:asciiTheme="minorEastAsia" w:eastAsiaTheme="minorEastAsia" w:hAnsiTheme="minorEastAsia" w:cs="Arial" w:hint="eastAsia"/>
          <w:sz w:val="22"/>
          <w:szCs w:val="22"/>
        </w:rPr>
        <w:lastRenderedPageBreak/>
        <w:t>不得低于0.01元，</w:t>
      </w:r>
      <w:r w:rsidR="00A10D73">
        <w:rPr>
          <w:rFonts w:asciiTheme="minorEastAsia" w:eastAsiaTheme="minorEastAsia" w:hAnsiTheme="minorEastAsia" w:cs="Arial"/>
          <w:sz w:val="22"/>
          <w:szCs w:val="22"/>
        </w:rPr>
        <w:t>K</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P</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HN</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RF</w:t>
      </w:r>
      <w:r w:rsidR="00A10D73">
        <w:rPr>
          <w:rFonts w:asciiTheme="minorEastAsia" w:eastAsiaTheme="minorEastAsia" w:hAnsiTheme="minorEastAsia" w:cs="Arial" w:hint="eastAsia"/>
          <w:sz w:val="22"/>
          <w:szCs w:val="22"/>
        </w:rPr>
        <w:t>份额投资者剩余的各笔认购申请的认购金额合计不得低于0.01元，</w:t>
      </w:r>
      <w:r w:rsidR="003340DA">
        <w:rPr>
          <w:rFonts w:asciiTheme="minorEastAsia" w:eastAsiaTheme="minorEastAsia" w:hAnsiTheme="minorEastAsia" w:cs="Arial"/>
          <w:sz w:val="22"/>
          <w:szCs w:val="22"/>
        </w:rPr>
        <w:t>MS</w:t>
      </w:r>
      <w:r w:rsidR="003340DA">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864CE6">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K</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K</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P</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P</w:t>
      </w:r>
      <w:r w:rsidR="00145C01">
        <w:rPr>
          <w:rFonts w:asciiTheme="minorEastAsia" w:eastAsiaTheme="minorEastAsia" w:hAnsiTheme="minorEastAsia" w:hint="eastAsia"/>
          <w:sz w:val="22"/>
          <w:szCs w:val="22"/>
        </w:rPr>
        <w:t>份额规模上限中二者的较小值，</w:t>
      </w:r>
      <w:r w:rsidR="00145C01" w:rsidRPr="00B67A08">
        <w:rPr>
          <w:rFonts w:asciiTheme="minorEastAsia" w:eastAsiaTheme="minorEastAsia" w:hAnsiTheme="minorEastAsia"/>
          <w:b/>
          <w:sz w:val="22"/>
          <w:szCs w:val="22"/>
        </w:rPr>
        <w:t>H</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亿元和本理财计划H</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RF</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RF</w:t>
      </w:r>
      <w:r w:rsidR="00145C01">
        <w:rPr>
          <w:rFonts w:asciiTheme="minorEastAsia" w:eastAsiaTheme="minorEastAsia" w:hAnsiTheme="minorEastAsia" w:hint="eastAsia"/>
          <w:sz w:val="22"/>
          <w:szCs w:val="22"/>
        </w:rPr>
        <w:t>份额规模上限中二者的较小值，</w:t>
      </w:r>
      <w:r w:rsidR="003340DA">
        <w:rPr>
          <w:rFonts w:asciiTheme="minorEastAsia" w:eastAsiaTheme="minorEastAsia" w:hAnsiTheme="minorEastAsia"/>
          <w:b/>
          <w:bCs/>
          <w:sz w:val="22"/>
          <w:szCs w:val="22"/>
        </w:rPr>
        <w:t>MS</w:t>
      </w:r>
      <w:r w:rsidR="003340DA">
        <w:rPr>
          <w:rFonts w:asciiTheme="minorEastAsia" w:eastAsiaTheme="minorEastAsia" w:hAnsiTheme="minorEastAsia" w:hint="eastAsia"/>
          <w:b/>
          <w:bCs/>
          <w:sz w:val="22"/>
          <w:szCs w:val="22"/>
        </w:rPr>
        <w:t>份额</w:t>
      </w:r>
      <w:r w:rsidR="003340DA">
        <w:rPr>
          <w:rFonts w:asciiTheme="minorEastAsia" w:eastAsiaTheme="minorEastAsia" w:hAnsiTheme="minorEastAsia"/>
          <w:sz w:val="22"/>
          <w:szCs w:val="22"/>
        </w:rPr>
        <w:t>投资者单笔</w:t>
      </w:r>
      <w:r w:rsidR="003340DA">
        <w:rPr>
          <w:rFonts w:asciiTheme="minorEastAsia" w:eastAsiaTheme="minorEastAsia" w:hAnsiTheme="minorEastAsia" w:hint="eastAsia"/>
          <w:sz w:val="22"/>
          <w:szCs w:val="22"/>
        </w:rPr>
        <w:t>申购</w:t>
      </w:r>
      <w:r w:rsidR="003340DA">
        <w:rPr>
          <w:rFonts w:asciiTheme="minorEastAsia" w:eastAsiaTheme="minorEastAsia" w:hAnsiTheme="minorEastAsia"/>
          <w:sz w:val="22"/>
          <w:szCs w:val="22"/>
        </w:rPr>
        <w:t>上限为1</w:t>
      </w:r>
      <w:r w:rsidR="003340DA">
        <w:rPr>
          <w:rFonts w:asciiTheme="minorEastAsia" w:eastAsiaTheme="minorEastAsia" w:hAnsiTheme="minorEastAsia" w:hint="eastAsia"/>
          <w:sz w:val="22"/>
          <w:szCs w:val="22"/>
        </w:rPr>
        <w:t>亿元和本理财计划</w:t>
      </w:r>
      <w:r w:rsidR="003340DA">
        <w:rPr>
          <w:rFonts w:asciiTheme="minorEastAsia" w:eastAsiaTheme="minorEastAsia" w:hAnsiTheme="minorEastAsia"/>
          <w:sz w:val="22"/>
          <w:szCs w:val="22"/>
        </w:rPr>
        <w:t>MS</w:t>
      </w:r>
      <w:r w:rsidR="003340DA">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赎回额</w:t>
            </w:r>
            <w:r>
              <w:rPr>
                <w:rFonts w:asciiTheme="minorEastAsia" w:eastAsiaTheme="minorEastAsia" w:hAnsiTheme="minorEastAsia"/>
                <w:b/>
                <w:sz w:val="22"/>
                <w:szCs w:val="22"/>
              </w:rPr>
              <w:t>要求</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A4088D">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8105</w:t>
            </w:r>
            <w:r>
              <w:rPr>
                <w:rFonts w:asciiTheme="minorEastAsia" w:eastAsiaTheme="minorEastAsia" w:hAnsiTheme="minorEastAsia"/>
                <w:sz w:val="22"/>
                <w:szCs w:val="22"/>
              </w:rPr>
              <w:t>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K</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P</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HN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RF</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340DA">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MS</w:t>
            </w:r>
          </w:p>
        </w:tc>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E2290C" w:rsidRDefault="00B70654">
      <w:pPr>
        <w:adjustRightInd w:val="0"/>
        <w:snapToGrid w:val="0"/>
        <w:spacing w:line="300" w:lineRule="auto"/>
        <w:ind w:firstLine="420"/>
        <w:rPr>
          <w:rFonts w:asciiTheme="minorEastAsia" w:eastAsiaTheme="minorEastAsia" w:hAnsiTheme="minorEastAsia"/>
          <w:sz w:val="22"/>
          <w:szCs w:val="22"/>
        </w:rPr>
      </w:pPr>
      <w:r w:rsidRPr="00205663">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185093" w:rsidRDefault="00185093">
      <w:pPr>
        <w:adjustRightInd w:val="0"/>
        <w:snapToGrid w:val="0"/>
        <w:spacing w:line="300" w:lineRule="auto"/>
        <w:jc w:val="left"/>
        <w:rPr>
          <w:rFonts w:ascii="宋体" w:hAnsi="宋体"/>
          <w:b/>
          <w:sz w:val="22"/>
          <w:szCs w:val="22"/>
        </w:rPr>
      </w:pPr>
      <w:r>
        <w:rPr>
          <w:rFonts w:ascii="宋体" w:hAnsi="宋体" w:hint="eastAsia"/>
          <w:b/>
          <w:sz w:val="22"/>
          <w:szCs w:val="22"/>
        </w:rPr>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管理人将视为于T日后第1个工作日申购，管理人</w:t>
            </w:r>
            <w:r>
              <w:rPr>
                <w:rFonts w:ascii="宋体" w:hAnsi="宋体" w:hint="eastAsia"/>
                <w:sz w:val="22"/>
                <w:szCs w:val="22"/>
              </w:rPr>
              <w:lastRenderedPageBreak/>
              <w:t>将在T日后第2个工作日对投资者的申购申请的有效性进行确认，确认份额并由销售服务机构扣减投资者账户资金，扣划款项成功后投资者申购成功。该申购申请于T日后第1个工作日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CD21E1" w:rsidRPr="00B67A08" w:rsidRDefault="00CD21E1">
      <w:pPr>
        <w:adjustRightInd w:val="0"/>
        <w:snapToGrid w:val="0"/>
        <w:spacing w:line="300" w:lineRule="auto"/>
        <w:jc w:val="left"/>
        <w:rPr>
          <w:rFonts w:ascii="宋体" w:hAnsi="宋体"/>
          <w:b/>
          <w:sz w:val="22"/>
          <w:szCs w:val="22"/>
        </w:rPr>
      </w:pPr>
      <w:r w:rsidRPr="00B67A08">
        <w:rPr>
          <w:rFonts w:ascii="宋体" w:hAnsi="宋体" w:hint="eastAsia"/>
          <w:b/>
          <w:sz w:val="22"/>
          <w:szCs w:val="22"/>
        </w:rPr>
        <w:t>适用于</w:t>
      </w:r>
      <w:r>
        <w:rPr>
          <w:rFonts w:ascii="宋体" w:hAnsi="宋体"/>
          <w:b/>
          <w:sz w:val="22"/>
          <w:szCs w:val="22"/>
        </w:rPr>
        <w:t>P</w:t>
      </w:r>
      <w:r w:rsidRPr="00B67A08">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B67A08">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T日00:00-17:00（不含）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T日17:00-24:00（不含）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jc w:val="left"/>
        <w:rPr>
          <w:rFonts w:ascii="宋体" w:hAnsi="宋体"/>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185093" w:rsidRPr="00185093" w:rsidRDefault="00185093" w:rsidP="00B67A08">
      <w:pPr>
        <w:adjustRightInd w:val="0"/>
        <w:snapToGrid w:val="0"/>
        <w:spacing w:line="300" w:lineRule="auto"/>
        <w:jc w:val="left"/>
        <w:rPr>
          <w:rFonts w:ascii="宋体" w:hAnsi="宋体"/>
          <w:b/>
          <w:sz w:val="22"/>
          <w:szCs w:val="22"/>
        </w:rPr>
      </w:pPr>
      <w:r>
        <w:rPr>
          <w:rFonts w:ascii="宋体" w:hAnsi="宋体" w:hint="eastAsia"/>
          <w:b/>
          <w:sz w:val="22"/>
          <w:szCs w:val="22"/>
        </w:rPr>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CD21E1" w:rsidRPr="00CD21E1" w:rsidRDefault="00CD21E1" w:rsidP="00B67A08">
      <w:pPr>
        <w:adjustRightInd w:val="0"/>
        <w:snapToGrid w:val="0"/>
        <w:spacing w:line="300" w:lineRule="auto"/>
        <w:jc w:val="left"/>
        <w:rPr>
          <w:rFonts w:ascii="宋体" w:hAnsi="宋体"/>
          <w:b/>
          <w:sz w:val="22"/>
          <w:szCs w:val="22"/>
        </w:rPr>
      </w:pPr>
      <w:r w:rsidRPr="00205663">
        <w:rPr>
          <w:rFonts w:ascii="宋体" w:hAnsi="宋体" w:hint="eastAsia"/>
          <w:b/>
          <w:sz w:val="22"/>
          <w:szCs w:val="22"/>
        </w:rPr>
        <w:t>适用于</w:t>
      </w:r>
      <w:r>
        <w:rPr>
          <w:rFonts w:ascii="宋体" w:hAnsi="宋体"/>
          <w:b/>
          <w:sz w:val="22"/>
          <w:szCs w:val="22"/>
        </w:rPr>
        <w:t>P</w:t>
      </w:r>
      <w:r w:rsidRPr="00205663">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205663">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若理财计划单个开放日</w:t>
      </w:r>
      <w:r>
        <w:rPr>
          <w:rFonts w:ascii="宋体" w:hAnsi="宋体" w:hint="eastAsia"/>
          <w:b/>
          <w:bCs/>
          <w:color w:val="000000"/>
          <w:kern w:val="0"/>
          <w:sz w:val="22"/>
          <w:szCs w:val="22"/>
          <w:lang w:val="zh-CN"/>
        </w:rPr>
        <w:t>净赎回申请份额（赎回申请份额总数扣除申购申请份额总数）超过上一工作日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lastRenderedPageBreak/>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亿份的前提下，对其余赎回申请暂停接受或延期办理。如次一开放日</w:t>
      </w:r>
      <w:r>
        <w:rPr>
          <w:rFonts w:ascii="宋体" w:hAnsi="宋体" w:hint="eastAsia"/>
          <w:bCs/>
          <w:color w:val="000000"/>
          <w:kern w:val="0"/>
          <w:sz w:val="22"/>
          <w:szCs w:val="22"/>
          <w:lang w:val="zh-CN"/>
        </w:rPr>
        <w:t>净赎回申请份额继续超过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w:t>
      </w:r>
      <w:r>
        <w:rPr>
          <w:rFonts w:ascii="宋体" w:hAnsi="宋体" w:hint="eastAsia"/>
          <w:bCs/>
          <w:sz w:val="22"/>
          <w:szCs w:val="22"/>
        </w:rPr>
        <w:lastRenderedPageBreak/>
        <w:t>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当前一估值日产品资产净值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七日年化收益率随投资收益变化，理财计划存续期内，管理人于每个理财计划自然日计算理财计划每万份收益和七日年化收益率，并于该自然日后第1个工作日内通过“信息披露”约定的渠道发布理财计划每万份收益和七日年化收益率，</w:t>
      </w:r>
      <w:r>
        <w:rPr>
          <w:rFonts w:asciiTheme="minorEastAsia" w:eastAsiaTheme="minorEastAsia" w:hAnsiTheme="minorEastAsia" w:hint="eastAsia"/>
          <w:sz w:val="22"/>
          <w:szCs w:val="22"/>
        </w:rPr>
        <w:lastRenderedPageBreak/>
        <w:t>理财计划每万份收益精确到小数点后4位，小数点4位以后舍位，七日年化收益率精确到百分比小数点后2位，小数点2位以后舍位。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本理财计划估值采用摊余成本法，即计价对象以买入成本列示，按实际利率并考虑其买入时的溢价与折价，在其剩余存续期内摊销，每日计提损益。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）债券等资产采用溢折价摊销后的成本列示，按票面利率计提应收利息。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出现上述情形时，管理人将依据法律法规规定履行信息披露程序。影子定价与摊余成本法确定的现金管理类产品资产净值的偏离度＝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w:t>
      </w:r>
      <w:r>
        <w:rPr>
          <w:rFonts w:asciiTheme="minorEastAsia" w:eastAsiaTheme="minorEastAsia" w:hAnsiTheme="minorEastAsia" w:hint="eastAsia"/>
          <w:sz w:val="22"/>
          <w:szCs w:val="22"/>
        </w:rPr>
        <w:lastRenderedPageBreak/>
        <w:t>NAVa为摊余成本法确定的现金管理类产品资产净值。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r>
        <w:rPr>
          <w:rFonts w:asciiTheme="minorEastAsia" w:eastAsiaTheme="minorEastAsia" w:hAnsiTheme="minorEastAsia" w:cs="Arial" w:hint="eastAsia"/>
          <w:sz w:val="22"/>
          <w:szCs w:val="22"/>
        </w:rPr>
        <w:t>资管计划合同约定暂停估值或无法估值的情形发生，导致理财计划无法估值的；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w:t>
      </w:r>
      <w:r>
        <w:rPr>
          <w:rFonts w:asciiTheme="minorEastAsia" w:eastAsiaTheme="minorEastAsia" w:hAnsiTheme="minorEastAsia" w:hint="eastAsia"/>
          <w:sz w:val="22"/>
          <w:szCs w:val="22"/>
        </w:rPr>
        <w:lastRenderedPageBreak/>
        <w:t>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w:t>
      </w:r>
      <w:r>
        <w:rPr>
          <w:rFonts w:asciiTheme="minorEastAsia" w:eastAsiaTheme="minorEastAsia" w:hAnsiTheme="minorEastAsia"/>
          <w:sz w:val="22"/>
          <w:szCs w:val="22"/>
        </w:rPr>
        <w:t>最新约定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1）本理财计划类型为非保本浮动收益类理财产品，本理财计划每万份收益和七日年化收益率根据市场利率的变化以及招银理财实际投资运作的情况计算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上述收益计算为以</w:t>
      </w:r>
      <w:r>
        <w:rPr>
          <w:rFonts w:asciiTheme="minorEastAsia" w:eastAsiaTheme="minorEastAsia" w:hAnsiTheme="minorEastAsia" w:hint="eastAsia"/>
          <w:sz w:val="22"/>
          <w:szCs w:val="22"/>
        </w:rPr>
        <w:t>舍位</w:t>
      </w:r>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七日年化收益率（</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是最近第i个自然日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i=1,2,3…7）的每万份收益，七日年化</w:t>
      </w:r>
      <w:r>
        <w:rPr>
          <w:rFonts w:asciiTheme="minorEastAsia" w:eastAsiaTheme="minorEastAsia" w:hAnsiTheme="minorEastAsia" w:hint="eastAsia"/>
          <w:sz w:val="22"/>
          <w:szCs w:val="22"/>
        </w:rPr>
        <w:t>收益率采取舍位的方式保留小数点后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7日，则采取实际日收益率折算为</w:t>
      </w:r>
      <w:r>
        <w:rPr>
          <w:rFonts w:asciiTheme="minorEastAsia" w:eastAsiaTheme="minorEastAsia" w:hAnsiTheme="minorEastAsia" w:hint="eastAsia"/>
          <w:sz w:val="22"/>
          <w:szCs w:val="22"/>
        </w:rPr>
        <w:t>年化收益率的方式计算。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）理财计划每万份收益和七日年化收益率的公布时间：招银理财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公布上一工作日的理财计划每万份收益和七日年化收益率。（例如：周五的理财计划每万份收益和七日年化收益率于下周一公布）。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就期间分配而言，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w:t>
      </w:r>
      <w:r>
        <w:rPr>
          <w:rFonts w:asciiTheme="minorEastAsia" w:eastAsiaTheme="minorEastAsia" w:hAnsiTheme="minorEastAsia" w:cs="Arial"/>
          <w:sz w:val="22"/>
          <w:szCs w:val="22"/>
        </w:rPr>
        <w:lastRenderedPageBreak/>
        <w:t>生下列任一情形的，理财产品管理人有权以投资者利益最大化为原则，根据市场情况综合判断决定延长产品期限，推迟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2.预计理财计划所投资的信托计划、资管计划、私募基金的受托人或管理人将不能按期向招银理财划付理财计划的本金和收益；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C理财计划预计到期日届至且未延期的；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D理财计划延期期限届至且未再次延期，或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资管计划</w:t>
      </w:r>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如理财计划终止，除理财计划必须终止的事件第C款及第D款之外，理财产品管理人应提前2个工作日按照本《产品说明书》“信息披露”约定的方式通知投资者，并披露理财计划终止之日。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lastRenderedPageBreak/>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B97B2F">
        <w:rPr>
          <w:rFonts w:asciiTheme="minorEastAsia" w:eastAsiaTheme="minorEastAsia" w:hAnsiTheme="minorEastAsia"/>
          <w:b/>
          <w:sz w:val="22"/>
          <w:szCs w:val="22"/>
        </w:rPr>
        <w:t>K</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P</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037B2E">
        <w:rPr>
          <w:rFonts w:asciiTheme="minorEastAsia" w:eastAsiaTheme="minorEastAsia" w:hAnsiTheme="minorEastAsia"/>
          <w:b/>
          <w:sz w:val="22"/>
          <w:szCs w:val="22"/>
        </w:rPr>
        <w:t>HN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037B2E">
        <w:rPr>
          <w:rFonts w:asciiTheme="minorEastAsia" w:eastAsiaTheme="minorEastAsia" w:hAnsiTheme="minorEastAsia"/>
          <w:b/>
          <w:sz w:val="22"/>
          <w:szCs w:val="22"/>
        </w:rPr>
        <w:t>RF</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3340DA">
        <w:rPr>
          <w:rFonts w:asciiTheme="minorEastAsia" w:eastAsiaTheme="minorEastAsia" w:hAnsiTheme="minorEastAsia"/>
          <w:b/>
          <w:sz w:val="22"/>
          <w:szCs w:val="22"/>
        </w:rPr>
        <w:t>MS</w:t>
      </w:r>
      <w:r w:rsidR="003340DA" w:rsidRPr="00E11F6F">
        <w:rPr>
          <w:rFonts w:asciiTheme="minorEastAsia" w:eastAsiaTheme="minorEastAsia" w:hAnsiTheme="minorEastAsia" w:hint="eastAsia"/>
          <w:b/>
          <w:sz w:val="22"/>
          <w:szCs w:val="22"/>
        </w:rPr>
        <w:t>份额</w:t>
      </w:r>
      <w:r w:rsidR="003340DA" w:rsidRPr="00E11F6F">
        <w:rPr>
          <w:rFonts w:asciiTheme="minorEastAsia" w:eastAsiaTheme="minorEastAsia" w:hAnsiTheme="minorEastAsia"/>
          <w:b/>
          <w:sz w:val="22"/>
          <w:szCs w:val="22"/>
        </w:rPr>
        <w:t>销售服务费率为0.</w:t>
      </w:r>
      <w:r w:rsidR="003340DA">
        <w:rPr>
          <w:rFonts w:asciiTheme="minorEastAsia" w:eastAsiaTheme="minorEastAsia" w:hAnsiTheme="minorEastAsia"/>
          <w:b/>
          <w:sz w:val="22"/>
          <w:szCs w:val="22"/>
        </w:rPr>
        <w:t>15</w:t>
      </w:r>
      <w:r w:rsidR="003340DA"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份额×0.20%÷365</w:t>
      </w:r>
    </w:p>
    <w:p w:rsidR="003340DA" w:rsidRPr="003340DA" w:rsidRDefault="003340DA" w:rsidP="003340DA">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15</w:t>
      </w:r>
      <w:r w:rsidRPr="00E11F6F">
        <w:rPr>
          <w:rFonts w:asciiTheme="minorEastAsia" w:eastAsiaTheme="minorEastAsia" w:hAnsiTheme="minorEastAsia"/>
          <w:b/>
          <w:sz w:val="22"/>
          <w:szCs w:val="22"/>
        </w:rPr>
        <w:t>%÷365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lastRenderedPageBreak/>
        <w:t>因投资资产而产生的资产服务费（如有）：本理财计划在投资运作过程中，所投资</w:t>
      </w:r>
      <w:r w:rsidRPr="00E11F6F">
        <w:rPr>
          <w:rFonts w:asciiTheme="minorEastAsia" w:eastAsiaTheme="minorEastAsia" w:hAnsiTheme="minorEastAsia" w:cs="Arial" w:hint="eastAsia"/>
          <w:b/>
          <w:sz w:val="22"/>
          <w:szCs w:val="22"/>
        </w:rPr>
        <w:t>产可能因招商银行股份有限公司或其它机构提供管理服务而产生资产服务费等相关费用。管理人将根据费用实际发生额支付，并按照产品说明书约定的信息披露方式予以披露。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交易费用（包括但不限于交易佣金、印花税、过户费、撮合费用等）、理财计划验资费、审计费、信息披露费、清算费、执行费用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lastRenderedPageBreak/>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适宜成立运行，或理财计划认购总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w:t>
      </w:r>
      <w:r>
        <w:rPr>
          <w:rFonts w:asciiTheme="minorEastAsia" w:eastAsiaTheme="minorEastAsia" w:hAnsiTheme="minorEastAsia" w:cs="Arial"/>
          <w:sz w:val="22"/>
          <w:szCs w:val="22"/>
        </w:rPr>
        <w:lastRenderedPageBreak/>
        <w:t>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未按照产品说明书约定分配收益；理财计划所投资产出现重大损失；市场发生重大变化、投资的资产质量发生重大变化或者其它可能对投资者权益产生重大影响的突发事件等经</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lastRenderedPageBreak/>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9DA" w:rsidRDefault="00AA39DA">
      <w:r>
        <w:separator/>
      </w:r>
    </w:p>
  </w:endnote>
  <w:endnote w:type="continuationSeparator" w:id="0">
    <w:p w:rsidR="00AA39DA" w:rsidRDefault="00AA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end"/>
    </w:r>
  </w:p>
  <w:p w:rsidR="00A6004E" w:rsidRDefault="00A6004E">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separate"/>
    </w:r>
    <w:r w:rsidR="002D06BB">
      <w:rPr>
        <w:rStyle w:val="af2"/>
        <w:noProof/>
      </w:rPr>
      <w:t>1</w:t>
    </w:r>
    <w:r>
      <w:fldChar w:fldCharType="end"/>
    </w:r>
  </w:p>
  <w:p w:rsidR="00A6004E" w:rsidRDefault="00A6004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9DA" w:rsidRDefault="00AA39DA">
      <w:r>
        <w:separator/>
      </w:r>
    </w:p>
  </w:footnote>
  <w:footnote w:type="continuationSeparator" w:id="0">
    <w:p w:rsidR="00AA39DA" w:rsidRDefault="00AA39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37B2E"/>
    <w:rsid w:val="00040023"/>
    <w:rsid w:val="000403A0"/>
    <w:rsid w:val="00040B74"/>
    <w:rsid w:val="00042880"/>
    <w:rsid w:val="00043C38"/>
    <w:rsid w:val="00044088"/>
    <w:rsid w:val="0004421C"/>
    <w:rsid w:val="00044420"/>
    <w:rsid w:val="00051CF4"/>
    <w:rsid w:val="000527FA"/>
    <w:rsid w:val="00053B0B"/>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67CDC"/>
    <w:rsid w:val="00071069"/>
    <w:rsid w:val="00071E74"/>
    <w:rsid w:val="0007220F"/>
    <w:rsid w:val="000733CB"/>
    <w:rsid w:val="00074E68"/>
    <w:rsid w:val="000757C0"/>
    <w:rsid w:val="00076134"/>
    <w:rsid w:val="000776D8"/>
    <w:rsid w:val="00083030"/>
    <w:rsid w:val="00085AAF"/>
    <w:rsid w:val="0008658B"/>
    <w:rsid w:val="00086E72"/>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4D1"/>
    <w:rsid w:val="000E3691"/>
    <w:rsid w:val="000E4909"/>
    <w:rsid w:val="000E4A7E"/>
    <w:rsid w:val="000E571E"/>
    <w:rsid w:val="000E5DB3"/>
    <w:rsid w:val="000E5F56"/>
    <w:rsid w:val="000E6096"/>
    <w:rsid w:val="000E6222"/>
    <w:rsid w:val="000E64F7"/>
    <w:rsid w:val="000E6CDC"/>
    <w:rsid w:val="000E70A7"/>
    <w:rsid w:val="000F0DDC"/>
    <w:rsid w:val="000F2756"/>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5C0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5093"/>
    <w:rsid w:val="001863DA"/>
    <w:rsid w:val="00186585"/>
    <w:rsid w:val="00187799"/>
    <w:rsid w:val="00187D66"/>
    <w:rsid w:val="00191381"/>
    <w:rsid w:val="00191C41"/>
    <w:rsid w:val="00192C11"/>
    <w:rsid w:val="00196C98"/>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3DD8"/>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60AE"/>
    <w:rsid w:val="00266775"/>
    <w:rsid w:val="00267388"/>
    <w:rsid w:val="00267BB8"/>
    <w:rsid w:val="00270CE2"/>
    <w:rsid w:val="002721A9"/>
    <w:rsid w:val="00272340"/>
    <w:rsid w:val="00272B64"/>
    <w:rsid w:val="00273BF6"/>
    <w:rsid w:val="002744EC"/>
    <w:rsid w:val="00274B76"/>
    <w:rsid w:val="002763AB"/>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2E78"/>
    <w:rsid w:val="002C3590"/>
    <w:rsid w:val="002C6090"/>
    <w:rsid w:val="002C6199"/>
    <w:rsid w:val="002C7279"/>
    <w:rsid w:val="002D06BB"/>
    <w:rsid w:val="002D06E0"/>
    <w:rsid w:val="002D0B6F"/>
    <w:rsid w:val="002D2732"/>
    <w:rsid w:val="002D2F97"/>
    <w:rsid w:val="002D3045"/>
    <w:rsid w:val="002D3879"/>
    <w:rsid w:val="002D517C"/>
    <w:rsid w:val="002D6664"/>
    <w:rsid w:val="002D6DA2"/>
    <w:rsid w:val="002D6EED"/>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E9F"/>
    <w:rsid w:val="00307462"/>
    <w:rsid w:val="00310564"/>
    <w:rsid w:val="00311CE9"/>
    <w:rsid w:val="003126DC"/>
    <w:rsid w:val="00312BC2"/>
    <w:rsid w:val="00312ECE"/>
    <w:rsid w:val="0031323E"/>
    <w:rsid w:val="00314634"/>
    <w:rsid w:val="00315468"/>
    <w:rsid w:val="00315994"/>
    <w:rsid w:val="00317E87"/>
    <w:rsid w:val="003207C1"/>
    <w:rsid w:val="00322C42"/>
    <w:rsid w:val="00322CF7"/>
    <w:rsid w:val="003236F3"/>
    <w:rsid w:val="003237B9"/>
    <w:rsid w:val="00324B5A"/>
    <w:rsid w:val="003252C2"/>
    <w:rsid w:val="00325F63"/>
    <w:rsid w:val="003269B1"/>
    <w:rsid w:val="003309BD"/>
    <w:rsid w:val="003340DA"/>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2D5F"/>
    <w:rsid w:val="0035322F"/>
    <w:rsid w:val="00355345"/>
    <w:rsid w:val="00355854"/>
    <w:rsid w:val="00355908"/>
    <w:rsid w:val="00355E32"/>
    <w:rsid w:val="00357275"/>
    <w:rsid w:val="0036075B"/>
    <w:rsid w:val="003633B9"/>
    <w:rsid w:val="00363412"/>
    <w:rsid w:val="00363BA7"/>
    <w:rsid w:val="00364C0B"/>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4DDC"/>
    <w:rsid w:val="00386618"/>
    <w:rsid w:val="00387E33"/>
    <w:rsid w:val="00390F34"/>
    <w:rsid w:val="003920D8"/>
    <w:rsid w:val="003928FB"/>
    <w:rsid w:val="00394EC5"/>
    <w:rsid w:val="00395C91"/>
    <w:rsid w:val="00395D7C"/>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33DF"/>
    <w:rsid w:val="003E3BAF"/>
    <w:rsid w:val="003E457C"/>
    <w:rsid w:val="003E5551"/>
    <w:rsid w:val="003F1083"/>
    <w:rsid w:val="003F6A5D"/>
    <w:rsid w:val="004028AC"/>
    <w:rsid w:val="0040298A"/>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5D8F"/>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4C63"/>
    <w:rsid w:val="004A7072"/>
    <w:rsid w:val="004A7FA8"/>
    <w:rsid w:val="004B1D7D"/>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0DA6"/>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B18"/>
    <w:rsid w:val="005814BC"/>
    <w:rsid w:val="00581FCC"/>
    <w:rsid w:val="0058406D"/>
    <w:rsid w:val="00585B26"/>
    <w:rsid w:val="0058651B"/>
    <w:rsid w:val="005876BB"/>
    <w:rsid w:val="005877F1"/>
    <w:rsid w:val="0059013E"/>
    <w:rsid w:val="00590C5B"/>
    <w:rsid w:val="005917E7"/>
    <w:rsid w:val="00591861"/>
    <w:rsid w:val="00592182"/>
    <w:rsid w:val="00593945"/>
    <w:rsid w:val="00593E4F"/>
    <w:rsid w:val="00593FDC"/>
    <w:rsid w:val="005940A1"/>
    <w:rsid w:val="00596AF6"/>
    <w:rsid w:val="0059733E"/>
    <w:rsid w:val="005979FF"/>
    <w:rsid w:val="005A18D1"/>
    <w:rsid w:val="005A3316"/>
    <w:rsid w:val="005A5738"/>
    <w:rsid w:val="005A5BA9"/>
    <w:rsid w:val="005A6EF8"/>
    <w:rsid w:val="005B3952"/>
    <w:rsid w:val="005B48D5"/>
    <w:rsid w:val="005B5335"/>
    <w:rsid w:val="005B572B"/>
    <w:rsid w:val="005B61E9"/>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BCB"/>
    <w:rsid w:val="00642452"/>
    <w:rsid w:val="00643360"/>
    <w:rsid w:val="0064345F"/>
    <w:rsid w:val="00644A24"/>
    <w:rsid w:val="00651ADE"/>
    <w:rsid w:val="00651E67"/>
    <w:rsid w:val="0065304A"/>
    <w:rsid w:val="00653876"/>
    <w:rsid w:val="00653C1B"/>
    <w:rsid w:val="00655B9B"/>
    <w:rsid w:val="00662294"/>
    <w:rsid w:val="00663A00"/>
    <w:rsid w:val="00663B8A"/>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A7C5D"/>
    <w:rsid w:val="006B0B31"/>
    <w:rsid w:val="006B1C4C"/>
    <w:rsid w:val="006B209C"/>
    <w:rsid w:val="006B40E7"/>
    <w:rsid w:val="006C00FC"/>
    <w:rsid w:val="006C064A"/>
    <w:rsid w:val="006C1AC5"/>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75A"/>
    <w:rsid w:val="007161A0"/>
    <w:rsid w:val="00717737"/>
    <w:rsid w:val="007206CE"/>
    <w:rsid w:val="00721049"/>
    <w:rsid w:val="007226A9"/>
    <w:rsid w:val="00722946"/>
    <w:rsid w:val="0072414F"/>
    <w:rsid w:val="00724BB6"/>
    <w:rsid w:val="00725CDA"/>
    <w:rsid w:val="0072605E"/>
    <w:rsid w:val="00726552"/>
    <w:rsid w:val="0072671A"/>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B3162"/>
    <w:rsid w:val="007B445B"/>
    <w:rsid w:val="007B58AA"/>
    <w:rsid w:val="007B647A"/>
    <w:rsid w:val="007B7BE3"/>
    <w:rsid w:val="007B7C95"/>
    <w:rsid w:val="007C15CE"/>
    <w:rsid w:val="007C1F23"/>
    <w:rsid w:val="007C235E"/>
    <w:rsid w:val="007C2DAF"/>
    <w:rsid w:val="007C33B8"/>
    <w:rsid w:val="007C3B79"/>
    <w:rsid w:val="007C6031"/>
    <w:rsid w:val="007C6F64"/>
    <w:rsid w:val="007C7B24"/>
    <w:rsid w:val="007D0D0C"/>
    <w:rsid w:val="007D135C"/>
    <w:rsid w:val="007D16D6"/>
    <w:rsid w:val="007D1F91"/>
    <w:rsid w:val="007D28EF"/>
    <w:rsid w:val="007D594F"/>
    <w:rsid w:val="007D714B"/>
    <w:rsid w:val="007D75A2"/>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C6F"/>
    <w:rsid w:val="0080099D"/>
    <w:rsid w:val="00801B1E"/>
    <w:rsid w:val="00802507"/>
    <w:rsid w:val="008031C8"/>
    <w:rsid w:val="00803631"/>
    <w:rsid w:val="00805829"/>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64CE6"/>
    <w:rsid w:val="00870978"/>
    <w:rsid w:val="00872AE1"/>
    <w:rsid w:val="00876351"/>
    <w:rsid w:val="00876FD9"/>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4C5E"/>
    <w:rsid w:val="00895A92"/>
    <w:rsid w:val="008967F8"/>
    <w:rsid w:val="00896A09"/>
    <w:rsid w:val="008971D2"/>
    <w:rsid w:val="008973C0"/>
    <w:rsid w:val="00897B2E"/>
    <w:rsid w:val="008A05A9"/>
    <w:rsid w:val="008A0C07"/>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F1996"/>
    <w:rsid w:val="008F1F28"/>
    <w:rsid w:val="008F5409"/>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4E5E"/>
    <w:rsid w:val="00955C64"/>
    <w:rsid w:val="00955E6B"/>
    <w:rsid w:val="009572EC"/>
    <w:rsid w:val="00960C1F"/>
    <w:rsid w:val="0096247D"/>
    <w:rsid w:val="00962EFA"/>
    <w:rsid w:val="009639BD"/>
    <w:rsid w:val="00966223"/>
    <w:rsid w:val="00970E6C"/>
    <w:rsid w:val="0097190D"/>
    <w:rsid w:val="009732C7"/>
    <w:rsid w:val="00977586"/>
    <w:rsid w:val="0097761F"/>
    <w:rsid w:val="00981AD0"/>
    <w:rsid w:val="00981DDA"/>
    <w:rsid w:val="00983AEB"/>
    <w:rsid w:val="00987F26"/>
    <w:rsid w:val="00990489"/>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0D73"/>
    <w:rsid w:val="00A11794"/>
    <w:rsid w:val="00A125D6"/>
    <w:rsid w:val="00A2090B"/>
    <w:rsid w:val="00A2133B"/>
    <w:rsid w:val="00A21DD1"/>
    <w:rsid w:val="00A25AC1"/>
    <w:rsid w:val="00A26EBC"/>
    <w:rsid w:val="00A26FEE"/>
    <w:rsid w:val="00A307C0"/>
    <w:rsid w:val="00A33BCF"/>
    <w:rsid w:val="00A33C5F"/>
    <w:rsid w:val="00A36004"/>
    <w:rsid w:val="00A37CB0"/>
    <w:rsid w:val="00A4088D"/>
    <w:rsid w:val="00A40A4D"/>
    <w:rsid w:val="00A42ED5"/>
    <w:rsid w:val="00A4468A"/>
    <w:rsid w:val="00A469AB"/>
    <w:rsid w:val="00A51E16"/>
    <w:rsid w:val="00A53BD2"/>
    <w:rsid w:val="00A5480E"/>
    <w:rsid w:val="00A5492C"/>
    <w:rsid w:val="00A6004E"/>
    <w:rsid w:val="00A63137"/>
    <w:rsid w:val="00A6399A"/>
    <w:rsid w:val="00A6462F"/>
    <w:rsid w:val="00A64A1F"/>
    <w:rsid w:val="00A71B7E"/>
    <w:rsid w:val="00A7200C"/>
    <w:rsid w:val="00A7269D"/>
    <w:rsid w:val="00A7489D"/>
    <w:rsid w:val="00A7554C"/>
    <w:rsid w:val="00A75987"/>
    <w:rsid w:val="00A82BEF"/>
    <w:rsid w:val="00A82F81"/>
    <w:rsid w:val="00A83A8C"/>
    <w:rsid w:val="00A83B07"/>
    <w:rsid w:val="00A86250"/>
    <w:rsid w:val="00A868FC"/>
    <w:rsid w:val="00A86BAC"/>
    <w:rsid w:val="00A86F98"/>
    <w:rsid w:val="00A879E1"/>
    <w:rsid w:val="00A92538"/>
    <w:rsid w:val="00A941FC"/>
    <w:rsid w:val="00A9488A"/>
    <w:rsid w:val="00A96606"/>
    <w:rsid w:val="00A9695B"/>
    <w:rsid w:val="00A96A9B"/>
    <w:rsid w:val="00A978D4"/>
    <w:rsid w:val="00AA0D5D"/>
    <w:rsid w:val="00AA32BF"/>
    <w:rsid w:val="00AA39DA"/>
    <w:rsid w:val="00AA3C2A"/>
    <w:rsid w:val="00AA50FB"/>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18B6"/>
    <w:rsid w:val="00AE1F92"/>
    <w:rsid w:val="00AE257A"/>
    <w:rsid w:val="00AE4349"/>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866"/>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A08"/>
    <w:rsid w:val="00B67C8D"/>
    <w:rsid w:val="00B70654"/>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97B2F"/>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21038"/>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2D55"/>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FAC"/>
    <w:rsid w:val="00CD21E1"/>
    <w:rsid w:val="00CD2F7B"/>
    <w:rsid w:val="00CD35AA"/>
    <w:rsid w:val="00CD3B53"/>
    <w:rsid w:val="00CD49C0"/>
    <w:rsid w:val="00CD561C"/>
    <w:rsid w:val="00CD5987"/>
    <w:rsid w:val="00CD65CA"/>
    <w:rsid w:val="00CD69A3"/>
    <w:rsid w:val="00CD7AD5"/>
    <w:rsid w:val="00CE3877"/>
    <w:rsid w:val="00CE48BF"/>
    <w:rsid w:val="00CF09B0"/>
    <w:rsid w:val="00CF18AD"/>
    <w:rsid w:val="00CF2812"/>
    <w:rsid w:val="00CF4856"/>
    <w:rsid w:val="00CF4C4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75AE"/>
    <w:rsid w:val="00D20986"/>
    <w:rsid w:val="00D20B5C"/>
    <w:rsid w:val="00D219AB"/>
    <w:rsid w:val="00D2376F"/>
    <w:rsid w:val="00D23770"/>
    <w:rsid w:val="00D23A92"/>
    <w:rsid w:val="00D258E9"/>
    <w:rsid w:val="00D2722D"/>
    <w:rsid w:val="00D30CF1"/>
    <w:rsid w:val="00D31ED6"/>
    <w:rsid w:val="00D32F6F"/>
    <w:rsid w:val="00D35202"/>
    <w:rsid w:val="00D363B9"/>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FB9"/>
    <w:rsid w:val="00DD38C4"/>
    <w:rsid w:val="00DD3E3B"/>
    <w:rsid w:val="00DD41B9"/>
    <w:rsid w:val="00DD70F0"/>
    <w:rsid w:val="00DE08ED"/>
    <w:rsid w:val="00DE15C9"/>
    <w:rsid w:val="00DE19CE"/>
    <w:rsid w:val="00DE2B7A"/>
    <w:rsid w:val="00DE4825"/>
    <w:rsid w:val="00DE61EB"/>
    <w:rsid w:val="00DE6656"/>
    <w:rsid w:val="00DF179A"/>
    <w:rsid w:val="00DF2C06"/>
    <w:rsid w:val="00DF4BED"/>
    <w:rsid w:val="00DF505F"/>
    <w:rsid w:val="00DF6A7C"/>
    <w:rsid w:val="00DF7EFC"/>
    <w:rsid w:val="00E0021C"/>
    <w:rsid w:val="00E01C67"/>
    <w:rsid w:val="00E02084"/>
    <w:rsid w:val="00E02678"/>
    <w:rsid w:val="00E026E8"/>
    <w:rsid w:val="00E02A97"/>
    <w:rsid w:val="00E039B6"/>
    <w:rsid w:val="00E052B0"/>
    <w:rsid w:val="00E05653"/>
    <w:rsid w:val="00E075F4"/>
    <w:rsid w:val="00E10E02"/>
    <w:rsid w:val="00E116A3"/>
    <w:rsid w:val="00E11F6F"/>
    <w:rsid w:val="00E12042"/>
    <w:rsid w:val="00E132AD"/>
    <w:rsid w:val="00E15642"/>
    <w:rsid w:val="00E15B53"/>
    <w:rsid w:val="00E21055"/>
    <w:rsid w:val="00E2290C"/>
    <w:rsid w:val="00E23633"/>
    <w:rsid w:val="00E2529E"/>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A03FE"/>
    <w:rsid w:val="00EA1945"/>
    <w:rsid w:val="00EA7294"/>
    <w:rsid w:val="00EA72C3"/>
    <w:rsid w:val="00EA7C2E"/>
    <w:rsid w:val="00EB06E2"/>
    <w:rsid w:val="00EB5948"/>
    <w:rsid w:val="00EB5E00"/>
    <w:rsid w:val="00EB71BE"/>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679D"/>
    <w:rsid w:val="00EF68D2"/>
    <w:rsid w:val="00EF6E97"/>
    <w:rsid w:val="00EF7D34"/>
    <w:rsid w:val="00F000A5"/>
    <w:rsid w:val="00F00FD2"/>
    <w:rsid w:val="00F0184A"/>
    <w:rsid w:val="00F02C63"/>
    <w:rsid w:val="00F02CF7"/>
    <w:rsid w:val="00F0356A"/>
    <w:rsid w:val="00F04CDC"/>
    <w:rsid w:val="00F0624E"/>
    <w:rsid w:val="00F06586"/>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460F"/>
    <w:rsid w:val="00F34EB2"/>
    <w:rsid w:val="00F35357"/>
    <w:rsid w:val="00F35892"/>
    <w:rsid w:val="00F35CBD"/>
    <w:rsid w:val="00F36956"/>
    <w:rsid w:val="00F40337"/>
    <w:rsid w:val="00F40757"/>
    <w:rsid w:val="00F41057"/>
    <w:rsid w:val="00F410FD"/>
    <w:rsid w:val="00F415DF"/>
    <w:rsid w:val="00F4472B"/>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87657"/>
    <w:rsid w:val="00F9134D"/>
    <w:rsid w:val="00F95FF3"/>
    <w:rsid w:val="00F963DF"/>
    <w:rsid w:val="00F97FB6"/>
    <w:rsid w:val="00FA18B4"/>
    <w:rsid w:val="00FA30DA"/>
    <w:rsid w:val="00FA3D25"/>
    <w:rsid w:val="00FA584C"/>
    <w:rsid w:val="00FB159C"/>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1FC7"/>
    <w:rsid w:val="00FE262B"/>
    <w:rsid w:val="00FE293E"/>
    <w:rsid w:val="00FE5A66"/>
    <w:rsid w:val="00FE5B06"/>
    <w:rsid w:val="00FF2968"/>
    <w:rsid w:val="00FF328F"/>
    <w:rsid w:val="00FF3C60"/>
    <w:rsid w:val="00FF4652"/>
    <w:rsid w:val="00FF520D"/>
    <w:rsid w:val="00FF5874"/>
    <w:rsid w:val="00FF65DF"/>
    <w:rsid w:val="00FF670D"/>
    <w:rsid w:val="00FF6B47"/>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1</Pages>
  <Words>5504</Words>
  <Characters>31373</Characters>
  <Application>Microsoft Office Word</Application>
  <DocSecurity>0</DocSecurity>
  <Lines>261</Lines>
  <Paragraphs>73</Paragraphs>
  <ScaleCrop>false</ScaleCrop>
  <Company>a</Company>
  <LinksUpToDate>false</LinksUpToDate>
  <CharactersWithSpaces>36804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167</cp:revision>
  <cp:lastPrinted>2012-07-20T01:29:00Z</cp:lastPrinted>
  <dcterms:created xsi:type="dcterms:W3CDTF">2023-05-26T07:58:00Z</dcterms:created>
  <dcterms:modified xsi:type="dcterms:W3CDTF">2026-06-16T07:12:00Z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