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招银理财招睿鑫鼎7天持有期7号固定收益类理财计划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招银理财招睿鑫鼎7天持有期7号固定收益类理财计划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Z7001625000633</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111411</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11411P</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30%×中国人民银行公布的活期存款利率+70%×中债0-3个月国债财富（总值）指数收益率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50%×中国人民银行公布的活期存款利率+50%×中债0-3个月国债财富（总值）指数（CBA07301.CS）收益率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2026年09月04日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调整前测算说明：以产品投资固定收益类资产不低于80%为例，根据当前市场环境下大类资产合意配置比例及大类资产收益情况，考虑杠杆和费率等因素，并结合产品投资策略进行测算。</w:t>
      </w:r>
      <w:r>
        <w:cr/>
      </w:r>
      <w:r>
        <w:rPr>
          <w:rFonts w:ascii="仿宋" w:hAnsi="仿宋" w:cs="仿宋" w:eastAsia="仿宋"/>
          <w:b w:val="false"/>
          <w:i w:val="false"/>
          <w:color w:val="000000"/>
          <w:position w:val="-1"/>
          <w:sz w:val="24"/>
          <w:u w:val="none"/>
        </w:rPr>
        <w:t xml:space="preserve">    调整后测算说明：以产品投资固定收益类资产不低于80%为例，根据当前市场环境下大类资产合意配置比例及大类资产收益情况，考虑杠杆和费率等因素，并结合产品投资策略，确定本理财产品业绩比较基准。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如您不同意以上调整，请于2026年08月27日（不含）前在本产品原定开放期内赎回所持本理财计划全部份额；逾期未赎回或仅部分赎回的，视为同意并接受前述调整。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2026年08月26日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