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700" w:rsidRDefault="00973F2D">
      <w:pPr>
        <w:spacing w:line="360" w:lineRule="auto"/>
        <w:ind w:firstLineChars="200" w:firstLine="600"/>
        <w:jc w:val="center"/>
        <w:rPr>
          <w:rFonts w:ascii="黑体" w:eastAsia="黑体" w:hAnsi="黑体" w:cs="黑体"/>
          <w:sz w:val="30"/>
          <w:szCs w:val="30"/>
        </w:rPr>
      </w:pPr>
      <w:bookmarkStart w:id="0" w:name="_GoBack"/>
      <w:bookmarkEnd w:id="0"/>
      <w:r>
        <w:rPr>
          <w:rFonts w:ascii="黑体" w:eastAsia="黑体" w:hAnsi="黑体" w:cs="黑体" w:hint="eastAsia"/>
          <w:sz w:val="30"/>
          <w:szCs w:val="30"/>
        </w:rPr>
        <w:t>关于</w:t>
      </w:r>
      <w:r>
        <w:rPr>
          <w:rFonts w:ascii="黑体" w:hAnsi="黑体" w:cs="黑体" w:eastAsia="黑体"/>
          <w:b w:val="false"/>
          <w:i w:val="false"/>
          <w:color w:val="000000"/>
          <w:position w:val="-1"/>
          <w:sz w:val="30"/>
          <w:u w:val="none"/>
        </w:rPr>
        <w:t>招银理财招赢日日金174号现金管理类理财计划</w:t>
      </w:r>
      <w:r>
        <w:rPr>
          <w:rFonts w:ascii="黑体" w:eastAsia="黑体" w:hAnsi="黑体" w:cs="黑体" w:hint="eastAsia"/>
          <w:sz w:val="30"/>
          <w:szCs w:val="30"/>
        </w:rPr>
        <w:t>实施业绩比较基准调整的公告</w:t>
      </w:r>
    </w:p>
    <w:p w:rsidR="007A7700" w:rsidRDefault="00973F2D" w:rsidP="00F058DD">
      <w:pPr>
        <w:spacing w:line="360" w:lineRule="auto"/>
        <w:rPr>
          <w:rFonts w:ascii="仿宋" w:eastAsia="仿宋" w:hAnsi="仿宋" w:cs="仿宋"/>
          <w:sz w:val="24"/>
        </w:rPr>
      </w:pPr>
      <w:r>
        <w:rPr>
          <w:rFonts w:ascii="仿宋" w:eastAsia="仿宋" w:hAnsi="仿宋" w:cs="仿宋" w:hint="eastAsia"/>
          <w:sz w:val="24"/>
        </w:rPr>
        <w:t>尊敬的投资者：</w:t>
      </w:r>
    </w:p>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为提升产品业绩比较基准的连贯性，避免因市场环境波动而频繁调整，并使业绩比较基准更及时、客观反映产品投资策略、底层资产与相关金融市场表现之间的关联性</w:t>
      </w:r>
      <w:r>
        <w:rPr>
          <w:rFonts w:ascii="仿宋" w:eastAsia="仿宋" w:hAnsi="仿宋" w:cs="仿宋" w:hint="eastAsia"/>
          <w:sz w:val="24"/>
        </w:rPr>
        <w:t>，招银理财有限责任公司将对</w:t>
      </w:r>
      <w:r>
        <w:rPr>
          <w:rFonts w:ascii="仿宋" w:hAnsi="仿宋" w:cs="仿宋" w:eastAsia="仿宋"/>
          <w:b w:val="false"/>
          <w:i w:val="false"/>
          <w:color w:val="000000"/>
          <w:position w:val="-1"/>
          <w:sz w:val="24"/>
          <w:u w:val="none"/>
        </w:rPr>
        <w:t>招银理财招赢日日金174号现金管理类理财计划</w:t>
      </w:r>
      <w:r>
        <w:rPr>
          <w:rFonts w:ascii="仿宋" w:eastAsia="仿宋" w:hAnsi="仿宋" w:cs="仿宋" w:hint="eastAsia"/>
          <w:sz w:val="24"/>
        </w:rPr>
        <w:t>（产品登记编码：</w:t>
      </w:r>
      <w:r>
        <w:rPr>
          <w:rFonts w:ascii="仿宋" w:hAnsi="仿宋" w:cs="仿宋" w:eastAsia="仿宋"/>
          <w:b w:val="false"/>
          <w:i w:val="false"/>
          <w:color w:val="000000"/>
          <w:position w:val="-1"/>
          <w:sz w:val="24"/>
          <w:u w:val="none"/>
        </w:rPr>
        <w:t>Z7001626000086</w:t>
      </w:r>
      <w:r>
        <w:rPr>
          <w:rFonts w:ascii="仿宋" w:eastAsia="仿宋" w:hAnsi="仿宋" w:cs="仿宋" w:hint="eastAsia"/>
          <w:sz w:val="24"/>
        </w:rPr>
        <w:t>，产品代码：</w:t>
      </w:r>
      <w:r>
        <w:rPr>
          <w:rFonts w:ascii="仿宋" w:hAnsi="仿宋" w:cs="仿宋" w:eastAsia="仿宋"/>
          <w:b w:val="false"/>
          <w:i w:val="false"/>
          <w:color w:val="000000"/>
          <w:position w:val="-1"/>
          <w:sz w:val="24"/>
          <w:u w:val="none"/>
        </w:rPr>
        <w:t>8274</w:t>
      </w:r>
      <w:r>
        <w:rPr>
          <w:rFonts w:ascii="仿宋" w:eastAsia="仿宋" w:hAnsi="仿宋" w:cs="仿宋" w:hint="eastAsia"/>
          <w:sz w:val="24"/>
        </w:rPr>
        <w:t>）实施业绩比较基准调整，具体内容如下：</w:t>
      </w:r>
    </w:p>
    <w:tbl>
      <w:tblPr>
        <w:tblStyle w:val="a7"/>
        <w:tblW w:w="8500" w:type="dxa"/>
        <w:tblLook w:val="04A0" w:firstRow="1" w:lastRow="0" w:firstColumn="1" w:lastColumn="0" w:noHBand="0" w:noVBand="1"/>
      </w:tblPr>
      <w:tblGrid>
        <w:gridCol w:w="1426"/>
        <w:gridCol w:w="2544"/>
        <w:gridCol w:w="2404"/>
        <w:gridCol w:w="2126"/>
      </w:tblGrid>
      <w:tr w:rsidR="007A7700" w:rsidTr="009A7249">
        <w:tc>
          <w:tcPr>
            <w:tcW w:w="1426"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份额代码</w:t>
            </w:r>
          </w:p>
        </w:tc>
        <w:tc>
          <w:tcPr>
            <w:tcW w:w="254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调整前业绩比较基准</w:t>
            </w:r>
          </w:p>
        </w:tc>
        <w:tc>
          <w:tcPr>
            <w:tcW w:w="240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调整后业绩比较基准</w:t>
            </w:r>
          </w:p>
        </w:tc>
        <w:tc>
          <w:tcPr>
            <w:tcW w:w="2126" w:type="dxa"/>
            <w:vAlign w:val="center"/>
          </w:tcPr>
          <w:p w:rsidR="004D2088"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调整生效日期</w:t>
            </w:r>
          </w:p>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（含）</w:t>
            </w:r>
          </w:p>
        </w:tc>
      </w:tr>
      <w:tr w:rsidR="007A7700" w:rsidTr="009A7249">
        <w:tc>
          <w:tcPr>
            <w:tcW w:w="14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8274AM</w:t>
            </w:r>
          </w:p>
        </w:tc>
        <w:tc>
          <w:tcPr>
            <w:tcW w:w="254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中国人民银行公布的7天通知存款利率</w:t>
            </w:r>
          </w:p>
        </w:tc>
        <w:tc>
          <w:tcPr>
            <w:tcW w:w="240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中国人民银行公布的活期存款利率</w:t>
            </w:r>
          </w:p>
        </w:tc>
        <w:tc>
          <w:tcPr>
            <w:tcW w:w="21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2026年08月26日</w:t>
            </w:r>
          </w:p>
        </w:tc>
      </w:tr>
    </w:tbl>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调整前测算说明：本产品资金100%投资于现金、银行存款、债券回购、中央银行票据、同业存单、债券、资产支持证券及其他监管机构认可的具有良好流动性的货币市场工具。因此根据产品风险收益特征，选取：【中国人民银行公布的7天通知存款利率】作为本产品的业绩比较基准。</w:t>
      </w:r>
      <w:r>
        <w:cr/>
      </w:r>
      <w:r>
        <w:rPr>
          <w:rFonts w:ascii="仿宋" w:hAnsi="仿宋" w:cs="仿宋" w:eastAsia="仿宋"/>
          <w:b w:val="false"/>
          <w:i w:val="false"/>
          <w:color w:val="000000"/>
          <w:position w:val="-1"/>
          <w:sz w:val="24"/>
          <w:u w:val="none"/>
        </w:rPr>
        <w:t xml:space="preserve">    调整后测算说明：本产品资金100%投资于现金、银行存款、债券回购、中央银行票据、同业存单、债券、资产支持证券及其他监管机构认可的具有良好流动性的货币市场工具，根据当前市场环境下各类资产收益情况，考虑杠杆和费率等因素，并结合产品投资策略，确定本理财产品业绩比较基准。</w:t>
      </w:r>
    </w:p>
    <w:p w:rsidR="007A7700" w:rsidRDefault="00973F2D">
      <w:pPr>
        <w:spacing w:line="360" w:lineRule="auto"/>
        <w:ind w:firstLineChars="200" w:firstLine="482"/>
        <w:rPr>
          <w:rFonts w:ascii="仿宋" w:eastAsia="仿宋" w:hAnsi="仿宋" w:cs="仿宋"/>
          <w:b/>
          <w:bCs/>
          <w:sz w:val="24"/>
        </w:rPr>
      </w:pPr>
      <w:r>
        <w:rPr>
          <w:rFonts w:ascii="仿宋" w:eastAsia="仿宋" w:hAnsi="仿宋" w:cs="仿宋" w:hint="eastAsia"/>
          <w:b/>
          <w:bCs/>
          <w:sz w:val="24"/>
        </w:rPr>
        <w:t>业绩比较基准不是预期收益率，不代表产品的未来表现和实际收益，不构成对产品收益的承诺。</w:t>
      </w:r>
    </w:p>
    <w:p w:rsidR="00435270" w:rsidRPr="00062414" w:rsidRDefault="00435270">
      <w:pPr>
        <w:spacing w:line="360" w:lineRule="auto"/>
        <w:ind w:firstLineChars="200" w:firstLine="482"/>
        <w:rPr>
          <w:rFonts w:ascii="仿宋" w:eastAsia="仿宋" w:hAnsi="仿宋" w:cs="仿宋"/>
          <w:b/>
          <w:bCs/>
          <w:sz w:val="24"/>
        </w:rPr>
      </w:pPr>
      <w:r>
        <w:rPr>
          <w:rFonts w:ascii="仿宋" w:hAnsi="仿宋" w:cs="仿宋" w:eastAsia="仿宋"/>
          <w:b w:val="true"/>
          <w:i w:val="false"/>
          <w:color w:val="000000"/>
          <w:position w:val="-1"/>
          <w:sz w:val="24"/>
          <w:u w:val="none"/>
        </w:rPr>
        <w:t>如您不同意以上调整，请于2026年08月26日（不含）前在本产品原定开放期内赎回所持本理财计划全部份额；逾期未赎回或仅部分赎回的，视为同意并接受前述调整。</w:t>
      </w:r>
    </w:p>
    <w:p w:rsidR="00062414" w:rsidRPr="00062414" w:rsidRDefault="00062414">
      <w:pPr>
        <w:spacing w:line="360" w:lineRule="auto"/>
        <w:ind w:firstLineChars="200" w:firstLine="482"/>
        <w:rPr>
          <w:rFonts w:ascii="仿宋" w:eastAsia="仿宋" w:hAnsi="仿宋" w:cs="仿宋"/>
          <w:sz w:val="24"/>
        </w:rPr>
      </w:pPr>
      <w:r>
        <w:rPr>
          <w:rFonts w:asciiTheme="minorEastAsia" w:eastAsia="仿宋" w:hAnsiTheme="minorEastAsia" w:cs="宋体" w:hint="eastAsia"/>
          <w:b/>
          <w:color w:val="000000"/>
          <w:kern w:val="0"/>
          <w:sz w:val="24"/>
        </w:rPr>
        <w:t>调整生效日期、开放期、临时可赎回期等可能因国家相关主管部门临时调整节假日安排等原因而需要调整，如后续调整的，将另行披露，届时以管理人最新信息披露为准。</w:t>
      </w:r>
    </w:p>
    <w:p w:rsidR="007A7700" w:rsidRDefault="00973F2D" w:rsidP="004C0D1F">
      <w:pPr>
        <w:spacing w:line="360" w:lineRule="auto"/>
        <w:ind w:firstLineChars="200" w:firstLine="480"/>
        <w:rPr>
          <w:rFonts w:ascii="仿宋" w:eastAsia="仿宋" w:hAnsi="仿宋" w:cs="仿宋"/>
          <w:sz w:val="24"/>
        </w:rPr>
      </w:pPr>
      <w:r>
        <w:rPr>
          <w:rFonts w:ascii="仿宋" w:eastAsia="仿宋" w:hAnsi="仿宋" w:cs="仿宋" w:hint="eastAsia"/>
          <w:sz w:val="24"/>
        </w:rPr>
        <w:t>上述调整事项以本次公告为准，如后续管理人更新销售文件，您可通过约定的信息披露渠道查询更新后的销售文件及公告。</w:t>
      </w:r>
    </w:p>
    <w:p w:rsidR="007A7700" w:rsidRDefault="00973F2D">
      <w:pPr>
        <w:spacing w:line="360" w:lineRule="auto"/>
        <w:ind w:firstLineChars="200" w:firstLine="480"/>
        <w:rPr>
          <w:rFonts w:ascii="仿宋" w:eastAsia="仿宋" w:hAnsi="仿宋" w:cs="仿宋"/>
          <w:sz w:val="24"/>
        </w:rPr>
      </w:pPr>
      <w:r>
        <w:rPr>
          <w:rFonts w:ascii="仿宋" w:eastAsia="仿宋" w:hAnsi="仿宋" w:cs="仿宋" w:hint="eastAsia"/>
          <w:sz w:val="24"/>
        </w:rPr>
        <w:t>特此公告。</w:t>
      </w:r>
    </w:p>
    <w:p w:rsidR="007A7700" w:rsidRDefault="00973F2D">
      <w:pPr>
        <w:spacing w:line="360" w:lineRule="auto"/>
        <w:ind w:firstLineChars="200" w:firstLine="480"/>
        <w:jc w:val="right"/>
        <w:rPr>
          <w:rFonts w:ascii="仿宋" w:eastAsia="仿宋" w:hAnsi="仿宋"/>
          <w:sz w:val="24"/>
        </w:rPr>
      </w:pPr>
      <w:r>
        <w:rPr>
          <w:rFonts w:ascii="仿宋" w:eastAsia="仿宋" w:hAnsi="仿宋" w:hint="eastAsia"/>
          <w:sz w:val="24"/>
        </w:rPr>
        <w:t>招银理财有限责任公司</w:t>
      </w:r>
    </w:p>
    <w:p w:rsidR="007A7700" w:rsidRDefault="00973F2D">
      <w:pPr>
        <w:spacing w:line="360" w:lineRule="auto"/>
        <w:ind w:firstLineChars="200" w:firstLine="480"/>
        <w:jc w:val="right"/>
        <w:rPr>
          <w:rFonts w:ascii="仿宋" w:eastAsia="仿宋" w:hAnsi="仿宋" w:cs="仿宋"/>
          <w:sz w:val="24"/>
        </w:rPr>
      </w:pPr>
      <w:r>
        <w:rPr>
          <w:rFonts w:ascii="仿宋" w:hAnsi="仿宋" w:cs="仿宋" w:eastAsia="仿宋"/>
          <w:b w:val="false"/>
          <w:i w:val="false"/>
          <w:color w:val="000000"/>
          <w:position w:val="-1"/>
          <w:sz w:val="24"/>
          <w:u w:val="none"/>
        </w:rPr>
        <w:t>2026年08月24日</w:t>
      </w:r>
    </w:p>
    <w:sectPr w:rsidR="007A77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321" w:rsidRDefault="00D53321" w:rsidP="00BC270F">
      <w:r>
        <w:separator/>
      </w:r>
    </w:p>
  </w:endnote>
  <w:endnote w:type="continuationSeparator" w:id="0">
    <w:p w:rsidR="00D53321" w:rsidRDefault="00D53321" w:rsidP="00BC2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321" w:rsidRDefault="00D53321" w:rsidP="00BC270F">
      <w:r>
        <w:separator/>
      </w:r>
    </w:p>
  </w:footnote>
  <w:footnote w:type="continuationSeparator" w:id="0">
    <w:p w:rsidR="00D53321" w:rsidRDefault="00D53321" w:rsidP="00BC27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1A0"/>
    <w:rsid w:val="00062414"/>
    <w:rsid w:val="000C2B3C"/>
    <w:rsid w:val="000E0438"/>
    <w:rsid w:val="00126CD3"/>
    <w:rsid w:val="001F0425"/>
    <w:rsid w:val="002107D6"/>
    <w:rsid w:val="0033351A"/>
    <w:rsid w:val="00375DFE"/>
    <w:rsid w:val="003E5DC6"/>
    <w:rsid w:val="003F4402"/>
    <w:rsid w:val="00435270"/>
    <w:rsid w:val="004C0D1F"/>
    <w:rsid w:val="004D2088"/>
    <w:rsid w:val="005B4FF6"/>
    <w:rsid w:val="005D3B92"/>
    <w:rsid w:val="007240E0"/>
    <w:rsid w:val="0073665B"/>
    <w:rsid w:val="007A7700"/>
    <w:rsid w:val="00870E99"/>
    <w:rsid w:val="00893F49"/>
    <w:rsid w:val="008A32B0"/>
    <w:rsid w:val="00925F26"/>
    <w:rsid w:val="00973F2D"/>
    <w:rsid w:val="009A7249"/>
    <w:rsid w:val="009D572E"/>
    <w:rsid w:val="00A42BCF"/>
    <w:rsid w:val="00A621A0"/>
    <w:rsid w:val="00A66191"/>
    <w:rsid w:val="00AC068D"/>
    <w:rsid w:val="00AC1591"/>
    <w:rsid w:val="00B00547"/>
    <w:rsid w:val="00BC270F"/>
    <w:rsid w:val="00C87371"/>
    <w:rsid w:val="00C8741E"/>
    <w:rsid w:val="00CF7A33"/>
    <w:rsid w:val="00D50DFC"/>
    <w:rsid w:val="00D53321"/>
    <w:rsid w:val="00DC29C8"/>
    <w:rsid w:val="00DF583D"/>
    <w:rsid w:val="00E23794"/>
    <w:rsid w:val="00F02322"/>
    <w:rsid w:val="00F058DD"/>
    <w:rsid w:val="00F60518"/>
    <w:rsid w:val="00F9046C"/>
    <w:rsid w:val="134A3004"/>
    <w:rsid w:val="171731EE"/>
    <w:rsid w:val="26FA0563"/>
    <w:rsid w:val="283C2212"/>
    <w:rsid w:val="3ABF1709"/>
    <w:rsid w:val="3E2A590C"/>
    <w:rsid w:val="4C856BBB"/>
    <w:rsid w:val="547A7A25"/>
    <w:rsid w:val="55CF2285"/>
    <w:rsid w:val="5DAD1ABB"/>
    <w:rsid w:val="687142E8"/>
    <w:rsid w:val="6F973D20"/>
    <w:rsid w:val="719A7C6D"/>
    <w:rsid w:val="75C34DF3"/>
    <w:rsid w:val="79F72F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C08056-F841-4396-9E5B-9C9AD3841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 w:type="paragraph" w:styleId="a8">
    <w:name w:val="annotation text"/>
    <w:basedOn w:val="a"/>
    <w:link w:val="a9"/>
    <w:uiPriority w:val="99"/>
    <w:unhideWhenUsed/>
    <w:qFormat/>
    <w:rsid w:val="00062414"/>
    <w:pPr>
      <w:jc w:val="left"/>
    </w:pPr>
  </w:style>
  <w:style w:type="character" w:customStyle="1" w:styleId="a9">
    <w:name w:val="批注文字 字符"/>
    <w:basedOn w:val="a0"/>
    <w:link w:val="a8"/>
    <w:uiPriority w:val="99"/>
    <w:qFormat/>
    <w:rsid w:val="00062414"/>
    <w:rPr>
      <w:kern w:val="2"/>
      <w:sz w:val="21"/>
      <w:szCs w:val="24"/>
    </w:rPr>
  </w:style>
  <w:style w:type="paragraph" w:styleId="aa">
    <w:name w:val="Balloon Text"/>
    <w:basedOn w:val="a"/>
    <w:link w:val="ab"/>
    <w:rsid w:val="00062414"/>
    <w:rPr>
      <w:sz w:val="18"/>
      <w:szCs w:val="18"/>
    </w:rPr>
  </w:style>
  <w:style w:type="character" w:customStyle="1" w:styleId="ab">
    <w:name w:val="批注框文本 字符"/>
    <w:basedOn w:val="a0"/>
    <w:link w:val="aa"/>
    <w:rsid w:val="0006241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ntTable.xml" Type="http://schemas.openxmlformats.org/officeDocument/2006/relationships/fontTable"/>
<Relationship Id="rId7"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352</Characters>
  <Application>Microsoft Office Word</Application>
  <DocSecurity>0</DocSecurity>
  <Lines>2</Lines>
  <Paragraphs>1</Paragraphs>
  <ScaleCrop>false</ScaleCrop>
  <Company>神州网信技术有限公司</Company>
  <LinksUpToDate>false</LinksUpToDate>
  <CharactersWithSpaces>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2026-08-17T03:33:00Z</dcterms:created>
  <dc:creator>it700979</dc:creator>
  <cp:lastModifiedBy>胡伟</cp:lastModifiedBy>
  <dcterms:modified xsi:type="dcterms:W3CDTF">2026-08-17T03:33:00Z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257CF24450884D46A6F747ADB4AE3200</vt:lpwstr>
  </property>
</Properties>
</file>