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ED" w:rsidRDefault="005E2214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南浔农商行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年理财产品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二季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度报告</w:t>
      </w:r>
    </w:p>
    <w:p w:rsidR="00BE4CED" w:rsidRDefault="00BE4CED">
      <w:pPr>
        <w:widowControl/>
        <w:spacing w:line="560" w:lineRule="exact"/>
        <w:rPr>
          <w:bCs/>
          <w:sz w:val="32"/>
          <w:szCs w:val="32"/>
        </w:rPr>
      </w:pPr>
    </w:p>
    <w:p w:rsidR="00BE4CED" w:rsidRDefault="005E2214">
      <w:pPr>
        <w:widowControl/>
        <w:spacing w:line="560" w:lineRule="exact"/>
        <w:ind w:firstLineChars="200" w:firstLine="560"/>
        <w:rPr>
          <w:bCs/>
          <w:sz w:val="28"/>
          <w:szCs w:val="32"/>
        </w:rPr>
      </w:pP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截止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2022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6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0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日，我行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2022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二季度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理财业务整体平稳运行。</w:t>
      </w:r>
      <w:r>
        <w:rPr>
          <w:rFonts w:hint="eastAsia"/>
          <w:bCs/>
          <w:sz w:val="28"/>
          <w:szCs w:val="32"/>
        </w:rPr>
        <w:t>运行情况公告如下：</w:t>
      </w:r>
    </w:p>
    <w:p w:rsidR="00BE4CED" w:rsidRDefault="005E2214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32"/>
        </w:rPr>
      </w:pPr>
      <w:r>
        <w:rPr>
          <w:rFonts w:ascii="黑体" w:eastAsia="黑体" w:hAnsi="黑体" w:cs="黑体" w:hint="eastAsia"/>
          <w:bCs/>
          <w:sz w:val="28"/>
          <w:szCs w:val="32"/>
        </w:rPr>
        <w:t>理财产品发行情况</w:t>
      </w:r>
    </w:p>
    <w:p w:rsidR="00BE4CED" w:rsidRDefault="005E221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2022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二季度</w:t>
      </w:r>
      <w:r>
        <w:rPr>
          <w:rFonts w:hint="eastAsia"/>
          <w:bCs/>
          <w:sz w:val="28"/>
          <w:szCs w:val="32"/>
        </w:rPr>
        <w:t>，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共发行封闭式净值型理财产品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16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期，募集理财资金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27306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万元，加权平均期限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58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天；一个月内开放式净值型理财产品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只，合计申购金额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2130.7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万元。</w:t>
      </w:r>
    </w:p>
    <w:p w:rsidR="00BE4CED" w:rsidRDefault="005E2214">
      <w:pPr>
        <w:pStyle w:val="a8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按期限分</w:t>
      </w:r>
    </w:p>
    <w:p w:rsidR="00BE4CED" w:rsidRDefault="005E221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根据客户需求，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二季度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我行发行的理财产品以中短期限为主，最长期限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365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天，详见下表：</w:t>
      </w:r>
    </w:p>
    <w:p w:rsidR="00BE4CED" w:rsidRDefault="005E2214">
      <w:pPr>
        <w:widowControl/>
        <w:spacing w:line="0" w:lineRule="atLeast"/>
        <w:rPr>
          <w:rFonts w:ascii="Times New Roman" w:hAnsi="Times New Roman" w:cs="Times New Roman"/>
          <w:bCs/>
          <w:szCs w:val="24"/>
          <w:lang w:val="en-US"/>
        </w:rPr>
      </w:pPr>
      <w:r>
        <w:rPr>
          <w:rFonts w:ascii="Times New Roman" w:hAnsi="Times New Roman" w:cs="Times New Roman" w:hint="eastAsia"/>
          <w:bCs/>
          <w:szCs w:val="24"/>
          <w:lang w:val="en-US"/>
        </w:rPr>
        <w:t xml:space="preserve">                                                                                                                     </w:t>
      </w:r>
    </w:p>
    <w:tbl>
      <w:tblPr>
        <w:tblW w:w="9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1600"/>
        <w:gridCol w:w="1500"/>
        <w:gridCol w:w="1914"/>
        <w:gridCol w:w="1676"/>
        <w:gridCol w:w="1482"/>
      </w:tblGrid>
      <w:tr w:rsidR="00BE4CED">
        <w:tblPrEx>
          <w:tblCellMar>
            <w:top w:w="0" w:type="dxa"/>
            <w:bottom w:w="0" w:type="dxa"/>
          </w:tblCellMar>
        </w:tblPrEx>
        <w:tc>
          <w:tcPr>
            <w:tcW w:w="2634" w:type="dxa"/>
            <w:gridSpan w:val="2"/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1</w:t>
            </w:r>
            <w:r>
              <w:rPr>
                <w:rFonts w:hint="eastAsia"/>
                <w:b/>
                <w:bCs/>
                <w:szCs w:val="24"/>
                <w:lang w:val="en-US"/>
              </w:rPr>
              <w:t>个月内</w:t>
            </w:r>
          </w:p>
        </w:tc>
        <w:tc>
          <w:tcPr>
            <w:tcW w:w="1914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31-180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天（含）</w:t>
            </w:r>
          </w:p>
        </w:tc>
        <w:tc>
          <w:tcPr>
            <w:tcW w:w="1676" w:type="dxa"/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181-365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天（含）</w:t>
            </w:r>
          </w:p>
        </w:tc>
        <w:tc>
          <w:tcPr>
            <w:tcW w:w="1482" w:type="dxa"/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c>
          <w:tcPr>
            <w:tcW w:w="1034" w:type="dxa"/>
            <w:vMerge w:val="restart"/>
            <w:vAlign w:val="center"/>
          </w:tcPr>
          <w:p w:rsidR="00BE4CED" w:rsidRDefault="005E2214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>
              <w:rPr>
                <w:rFonts w:eastAsia="宋体" w:hint="eastAsia"/>
                <w:szCs w:val="24"/>
              </w:rPr>
              <w:t>2022</w:t>
            </w:r>
            <w:r>
              <w:rPr>
                <w:rFonts w:eastAsia="宋体" w:hint="eastAsia"/>
                <w:szCs w:val="24"/>
              </w:rPr>
              <w:t>年</w:t>
            </w:r>
            <w:r>
              <w:rPr>
                <w:rFonts w:eastAsia="宋体" w:hint="eastAsia"/>
                <w:szCs w:val="24"/>
              </w:rPr>
              <w:t>二季度</w:t>
            </w:r>
          </w:p>
        </w:tc>
        <w:tc>
          <w:tcPr>
            <w:tcW w:w="1600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3</w:t>
            </w:r>
          </w:p>
        </w:tc>
        <w:tc>
          <w:tcPr>
            <w:tcW w:w="1914" w:type="dxa"/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1</w:t>
            </w:r>
          </w:p>
        </w:tc>
        <w:tc>
          <w:tcPr>
            <w:tcW w:w="1676" w:type="dxa"/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1</w:t>
            </w:r>
            <w:r>
              <w:rPr>
                <w:rFonts w:hint="eastAsia"/>
                <w:szCs w:val="24"/>
                <w:lang w:val="en-US"/>
              </w:rPr>
              <w:t>5</w:t>
            </w:r>
          </w:p>
        </w:tc>
        <w:tc>
          <w:tcPr>
            <w:tcW w:w="1482" w:type="dxa"/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19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c>
          <w:tcPr>
            <w:tcW w:w="1034" w:type="dxa"/>
            <w:vMerge/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  <w:lang w:val="en-US"/>
              </w:rPr>
              <w:t>(</w:t>
            </w:r>
            <w:r>
              <w:rPr>
                <w:rFonts w:hint="eastAsia"/>
                <w:szCs w:val="24"/>
                <w:lang w:val="en-US"/>
              </w:rPr>
              <w:t>万</w:t>
            </w:r>
            <w:r>
              <w:rPr>
                <w:rFonts w:hint="eastAsia"/>
                <w:szCs w:val="24"/>
                <w:lang w:val="en-US"/>
              </w:rPr>
              <w:t>)</w:t>
            </w: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2130.7</w:t>
            </w:r>
          </w:p>
        </w:tc>
        <w:tc>
          <w:tcPr>
            <w:tcW w:w="1914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1246</w:t>
            </w:r>
          </w:p>
        </w:tc>
        <w:tc>
          <w:tcPr>
            <w:tcW w:w="1676" w:type="dxa"/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2</w:t>
            </w:r>
            <w:r>
              <w:rPr>
                <w:rFonts w:hint="eastAsia"/>
                <w:szCs w:val="24"/>
                <w:lang w:val="en-US"/>
              </w:rPr>
              <w:t>6060</w:t>
            </w:r>
          </w:p>
        </w:tc>
        <w:tc>
          <w:tcPr>
            <w:tcW w:w="1482" w:type="dxa"/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29436.7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c>
          <w:tcPr>
            <w:tcW w:w="1034" w:type="dxa"/>
            <w:vMerge/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7.24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1914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4.23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676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  <w:r>
              <w:rPr>
                <w:rFonts w:hint="eastAsia"/>
                <w:lang w:val="en-US"/>
              </w:rPr>
              <w:t>8.53</w:t>
            </w:r>
            <w:r>
              <w:rPr>
                <w:rFonts w:hint="eastAsia"/>
                <w:lang w:val="en-US"/>
              </w:rPr>
              <w:t>%</w:t>
            </w:r>
          </w:p>
        </w:tc>
        <w:tc>
          <w:tcPr>
            <w:tcW w:w="1482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 w:rsidR="00BE4CED" w:rsidRDefault="005E2214">
      <w:pPr>
        <w:pStyle w:val="a8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spacing w:val="8"/>
          <w:sz w:val="28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按收益方式划分</w:t>
      </w:r>
    </w:p>
    <w:tbl>
      <w:tblPr>
        <w:tblW w:w="7362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6"/>
        <w:gridCol w:w="1917"/>
        <w:gridCol w:w="2051"/>
        <w:gridCol w:w="1888"/>
      </w:tblGrid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BE4CED" w:rsidRDefault="005E2214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非保本浮动型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 w:val="restart"/>
            <w:tcBorders>
              <w:lef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2022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二季度</w:t>
            </w:r>
          </w:p>
        </w:tc>
        <w:tc>
          <w:tcPr>
            <w:tcW w:w="1917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2051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19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19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  <w:lang w:val="en-US"/>
              </w:rPr>
              <w:t>(</w:t>
            </w:r>
            <w:r>
              <w:rPr>
                <w:rFonts w:hint="eastAsia"/>
                <w:szCs w:val="24"/>
                <w:lang w:val="en-US"/>
              </w:rPr>
              <w:t>万</w:t>
            </w:r>
            <w:r>
              <w:rPr>
                <w:rFonts w:hint="eastAsia"/>
                <w:szCs w:val="24"/>
                <w:lang w:val="en-US"/>
              </w:rPr>
              <w:t>)</w:t>
            </w:r>
          </w:p>
        </w:tc>
        <w:tc>
          <w:tcPr>
            <w:tcW w:w="2051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29436.7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29436.7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 w:rsidR="00BE4CED" w:rsidRDefault="005E2214">
      <w:pPr>
        <w:pStyle w:val="a8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</w:t>
      </w: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（三）按产品运作模式</w:t>
      </w:r>
      <w:r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W w:w="9203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4"/>
        <w:gridCol w:w="1701"/>
        <w:gridCol w:w="1959"/>
        <w:gridCol w:w="2317"/>
        <w:gridCol w:w="1592"/>
      </w:tblGrid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4" w:type="dxa"/>
            <w:vMerge w:val="restart"/>
            <w:tcBorders>
              <w:lef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2022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二季度</w:t>
            </w:r>
          </w:p>
        </w:tc>
        <w:tc>
          <w:tcPr>
            <w:tcW w:w="1701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959" w:type="dxa"/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3</w:t>
            </w:r>
          </w:p>
        </w:tc>
        <w:tc>
          <w:tcPr>
            <w:tcW w:w="2317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16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19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4" w:type="dxa"/>
            <w:vMerge/>
            <w:tcBorders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万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959" w:type="dxa"/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2130.7</w:t>
            </w:r>
          </w:p>
        </w:tc>
        <w:tc>
          <w:tcPr>
            <w:tcW w:w="2317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27</w:t>
            </w:r>
            <w:r>
              <w:rPr>
                <w:rFonts w:hint="eastAsia"/>
                <w:szCs w:val="24"/>
                <w:lang w:val="en-US"/>
              </w:rPr>
              <w:t>306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29436.7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4" w:type="dxa"/>
            <w:vMerge/>
            <w:tcBorders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7.24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9</w:t>
            </w:r>
            <w:r>
              <w:rPr>
                <w:rFonts w:hint="eastAsia"/>
                <w:szCs w:val="24"/>
                <w:lang w:val="en-US"/>
              </w:rPr>
              <w:t>2.76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 w:rsidR="00BE4CED" w:rsidRDefault="005E2214">
      <w:pPr>
        <w:pStyle w:val="a8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</w:t>
      </w: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（四）按产品风险等级</w:t>
      </w:r>
      <w:r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</w:p>
    <w:p w:rsidR="00BE4CED" w:rsidRDefault="005E221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我行理财产品以中低风险为主，满足客户风险控制、稳健发展、均衡成长、保值增值的需要。未发行中高风险理财产品。详见下表：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BE4CED">
        <w:tblPrEx>
          <w:tblCellMar>
            <w:top w:w="0" w:type="dxa"/>
            <w:bottom w:w="0" w:type="dxa"/>
          </w:tblCellMar>
        </w:tblPrEx>
        <w:tc>
          <w:tcPr>
            <w:tcW w:w="2424" w:type="dxa"/>
            <w:gridSpan w:val="2"/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 w:val="restart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eastAsia="宋体" w:hint="eastAsia"/>
                <w:szCs w:val="24"/>
              </w:rPr>
              <w:t>2022</w:t>
            </w:r>
            <w:r>
              <w:rPr>
                <w:rFonts w:eastAsia="宋体" w:hint="eastAsia"/>
                <w:szCs w:val="24"/>
              </w:rPr>
              <w:t>年</w:t>
            </w:r>
            <w:r>
              <w:rPr>
                <w:rFonts w:eastAsia="宋体" w:hint="eastAsia"/>
                <w:szCs w:val="24"/>
              </w:rPr>
              <w:t>二季度</w:t>
            </w: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19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19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/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万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29436.7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29436.7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/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 w:rsidR="00BE4CED" w:rsidRDefault="005E2214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32"/>
        </w:rPr>
      </w:pPr>
      <w:r>
        <w:rPr>
          <w:rFonts w:ascii="黑体" w:eastAsia="黑体" w:hAnsi="黑体" w:cs="黑体" w:hint="eastAsia"/>
          <w:bCs/>
          <w:sz w:val="28"/>
          <w:szCs w:val="32"/>
        </w:rPr>
        <w:t>理财产品到期情况</w:t>
      </w:r>
    </w:p>
    <w:p w:rsidR="00BE4CED" w:rsidRDefault="005E221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/>
          <w:bCs/>
          <w:sz w:val="28"/>
          <w:szCs w:val="32"/>
        </w:rPr>
        <w:t>2022</w:t>
      </w:r>
      <w:r>
        <w:rPr>
          <w:rFonts w:hint="eastAsia"/>
          <w:bCs/>
          <w:sz w:val="28"/>
          <w:szCs w:val="32"/>
        </w:rPr>
        <w:t>年</w:t>
      </w:r>
      <w:r>
        <w:rPr>
          <w:rFonts w:hint="eastAsia"/>
          <w:bCs/>
          <w:sz w:val="28"/>
          <w:szCs w:val="32"/>
        </w:rPr>
        <w:t>二季度</w:t>
      </w:r>
      <w:r>
        <w:rPr>
          <w:rFonts w:hint="eastAsia"/>
          <w:bCs/>
          <w:sz w:val="28"/>
          <w:szCs w:val="32"/>
        </w:rPr>
        <w:t>，我行合计兑付理财本息共计</w:t>
      </w:r>
      <w:r>
        <w:rPr>
          <w:rFonts w:hint="eastAsia"/>
          <w:bCs/>
          <w:sz w:val="28"/>
          <w:szCs w:val="32"/>
          <w:lang w:val="en-US"/>
        </w:rPr>
        <w:t>21963.49</w:t>
      </w:r>
      <w:r>
        <w:rPr>
          <w:rFonts w:hint="eastAsia"/>
          <w:bCs/>
          <w:sz w:val="28"/>
          <w:szCs w:val="32"/>
          <w:lang w:val="en-US"/>
        </w:rPr>
        <w:t>万元。其中，</w:t>
      </w:r>
      <w:r>
        <w:rPr>
          <w:rFonts w:hint="eastAsia"/>
          <w:bCs/>
          <w:sz w:val="28"/>
          <w:szCs w:val="32"/>
        </w:rPr>
        <w:t>兑付封闭式净值型理财产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品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22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期</w:t>
      </w:r>
      <w:r>
        <w:rPr>
          <w:rFonts w:hint="eastAsia"/>
          <w:bCs/>
          <w:sz w:val="28"/>
          <w:szCs w:val="32"/>
          <w:lang w:val="en-US"/>
        </w:rPr>
        <w:t>，</w:t>
      </w:r>
      <w:r>
        <w:rPr>
          <w:rFonts w:hint="eastAsia"/>
          <w:bCs/>
          <w:sz w:val="28"/>
          <w:szCs w:val="32"/>
        </w:rPr>
        <w:t>兑付理财本息合计</w:t>
      </w:r>
      <w:r>
        <w:rPr>
          <w:rFonts w:hint="eastAsia"/>
          <w:bCs/>
          <w:sz w:val="28"/>
          <w:szCs w:val="32"/>
          <w:lang w:val="en-US"/>
        </w:rPr>
        <w:t>19854.86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万</w:t>
      </w:r>
      <w:r>
        <w:rPr>
          <w:rFonts w:ascii="Times New Roman" w:hAnsi="Times New Roman" w:cs="Times New Roman"/>
          <w:bCs/>
          <w:sz w:val="28"/>
          <w:szCs w:val="32"/>
        </w:rPr>
        <w:t>元</w:t>
      </w:r>
      <w:r>
        <w:rPr>
          <w:rFonts w:hint="eastAsia"/>
          <w:bCs/>
          <w:sz w:val="28"/>
          <w:szCs w:val="32"/>
          <w:lang w:val="en-US"/>
        </w:rPr>
        <w:t>；兑付客户赎回的开放式理财本息合计</w:t>
      </w:r>
      <w:r>
        <w:rPr>
          <w:rFonts w:hint="eastAsia"/>
          <w:bCs/>
          <w:sz w:val="28"/>
          <w:szCs w:val="32"/>
          <w:lang w:val="en-US"/>
        </w:rPr>
        <w:t>2108.63</w:t>
      </w:r>
      <w:r>
        <w:rPr>
          <w:rFonts w:hint="eastAsia"/>
          <w:bCs/>
          <w:sz w:val="28"/>
          <w:szCs w:val="32"/>
          <w:lang w:val="en-US"/>
        </w:rPr>
        <w:t>万元。兑付的理财产品均达公告业绩基准，并按照产品说明书的约定按时兑付，兑付情况如下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：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 xml:space="preserve"> 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1853"/>
        <w:gridCol w:w="1962"/>
        <w:gridCol w:w="2244"/>
        <w:gridCol w:w="1982"/>
      </w:tblGrid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CED" w:rsidRDefault="005E2214">
            <w:pPr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 xml:space="preserve">   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兑付合计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" w:type="dxa"/>
            <w:vMerge w:val="restart"/>
            <w:tcBorders>
              <w:lef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eastAsia="宋体" w:hint="eastAsia"/>
                <w:szCs w:val="24"/>
              </w:rPr>
              <w:t>2022</w:t>
            </w:r>
            <w:r>
              <w:rPr>
                <w:rFonts w:eastAsia="宋体" w:hint="eastAsia"/>
                <w:szCs w:val="24"/>
              </w:rPr>
              <w:t>年</w:t>
            </w:r>
            <w:r>
              <w:rPr>
                <w:rFonts w:eastAsia="宋体" w:hint="eastAsia"/>
                <w:szCs w:val="24"/>
              </w:rPr>
              <w:t>二季度</w:t>
            </w:r>
          </w:p>
        </w:tc>
        <w:tc>
          <w:tcPr>
            <w:tcW w:w="1853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962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22</w:t>
            </w:r>
          </w:p>
        </w:tc>
        <w:tc>
          <w:tcPr>
            <w:tcW w:w="2244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－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22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兑付金额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万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962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19854.86</w:t>
            </w:r>
          </w:p>
        </w:tc>
        <w:tc>
          <w:tcPr>
            <w:tcW w:w="2244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2108.63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21963.49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90.40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9.60</w:t>
            </w:r>
            <w:r>
              <w:rPr>
                <w:szCs w:val="24"/>
              </w:rPr>
              <w:t>%</w:t>
            </w: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 w:rsidR="00BE4CED" w:rsidRDefault="005E2214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32"/>
        </w:rPr>
      </w:pPr>
      <w:r>
        <w:rPr>
          <w:rFonts w:ascii="黑体" w:eastAsia="黑体" w:hAnsi="黑体" w:cs="黑体" w:hint="eastAsia"/>
          <w:bCs/>
          <w:sz w:val="28"/>
          <w:szCs w:val="32"/>
        </w:rPr>
        <w:t>理财产品存续情况</w:t>
      </w:r>
    </w:p>
    <w:p w:rsidR="00BE4CED" w:rsidRDefault="005E221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/>
          <w:bCs/>
          <w:sz w:val="28"/>
          <w:szCs w:val="32"/>
        </w:rPr>
        <w:t>截至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2022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6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0</w:t>
      </w:r>
      <w:r>
        <w:rPr>
          <w:rFonts w:ascii="Times New Roman" w:hAnsi="Times New Roman" w:cs="Times New Roman"/>
          <w:bCs/>
          <w:sz w:val="28"/>
          <w:szCs w:val="32"/>
        </w:rPr>
        <w:t>日，我行</w:t>
      </w:r>
      <w:r>
        <w:rPr>
          <w:rFonts w:ascii="Times New Roman" w:hAnsi="Times New Roman" w:cs="Times New Roman" w:hint="eastAsia"/>
          <w:bCs/>
          <w:sz w:val="28"/>
          <w:szCs w:val="32"/>
        </w:rPr>
        <w:t>存续理财产品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5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期，存续</w:t>
      </w:r>
      <w:r>
        <w:rPr>
          <w:rFonts w:ascii="Times New Roman" w:hAnsi="Times New Roman" w:cs="Times New Roman"/>
          <w:bCs/>
          <w:sz w:val="28"/>
          <w:szCs w:val="32"/>
        </w:rPr>
        <w:t>理财余额为</w:t>
      </w:r>
      <w:r>
        <w:rPr>
          <w:rFonts w:ascii="Times New Roman" w:hAnsi="Times New Roman" w:cs="Times New Roman" w:hint="eastAsia"/>
          <w:bCs/>
          <w:sz w:val="28"/>
          <w:szCs w:val="32"/>
        </w:rPr>
        <w:t>75068.73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万元。</w:t>
      </w:r>
    </w:p>
    <w:p w:rsidR="00BE4CED" w:rsidRDefault="005E2214">
      <w:pPr>
        <w:pStyle w:val="a8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 (</w:t>
      </w: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一</w:t>
      </w: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)</w:t>
      </w: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按产品运作模式</w:t>
      </w:r>
      <w:r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1457"/>
        <w:gridCol w:w="2301"/>
        <w:gridCol w:w="2514"/>
        <w:gridCol w:w="1962"/>
      </w:tblGrid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lef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eastAsia="宋体" w:hint="eastAsia"/>
                <w:szCs w:val="24"/>
              </w:rPr>
              <w:t>2022</w:t>
            </w:r>
            <w:r>
              <w:rPr>
                <w:rFonts w:eastAsia="宋体" w:hint="eastAsia"/>
                <w:szCs w:val="24"/>
              </w:rPr>
              <w:t>年</w:t>
            </w:r>
            <w:r>
              <w:rPr>
                <w:rFonts w:eastAsia="宋体" w:hint="eastAsia"/>
                <w:szCs w:val="24"/>
              </w:rPr>
              <w:t>二季度</w:t>
            </w:r>
          </w:p>
        </w:tc>
        <w:tc>
          <w:tcPr>
            <w:tcW w:w="1457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5</w:t>
            </w:r>
            <w:r>
              <w:rPr>
                <w:rFonts w:hint="eastAsia"/>
                <w:szCs w:val="24"/>
                <w:lang w:val="en-US"/>
              </w:rPr>
              <w:t>0</w:t>
            </w:r>
          </w:p>
        </w:tc>
        <w:tc>
          <w:tcPr>
            <w:tcW w:w="2514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3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5</w:t>
            </w:r>
            <w:r>
              <w:rPr>
                <w:rFonts w:hint="eastAsia"/>
                <w:szCs w:val="24"/>
                <w:lang w:val="en-US"/>
              </w:rPr>
              <w:t>3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存续金额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万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301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71890.07</w:t>
            </w:r>
          </w:p>
        </w:tc>
        <w:tc>
          <w:tcPr>
            <w:tcW w:w="2514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3178.66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75068.73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95.</w:t>
            </w:r>
            <w:r>
              <w:rPr>
                <w:rFonts w:hint="eastAsia"/>
                <w:szCs w:val="24"/>
                <w:lang w:val="en-US"/>
              </w:rPr>
              <w:t>77</w:t>
            </w:r>
            <w:r>
              <w:rPr>
                <w:szCs w:val="24"/>
              </w:rPr>
              <w:t>%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4.23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 w:rsidR="00BE4CED" w:rsidRDefault="005E2214">
      <w:pPr>
        <w:widowControl/>
        <w:spacing w:line="560" w:lineRule="exact"/>
        <w:ind w:firstLineChars="200" w:firstLine="592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(</w:t>
      </w: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二</w:t>
      </w: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)</w:t>
      </w: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按风险等级</w:t>
      </w:r>
      <w:r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  <w:r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，中低风险评级理财产品占主导，主要投资于债券资产、买入返售资产及货币市场基金，总体风险可控。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BE4CED">
        <w:tblPrEx>
          <w:tblCellMar>
            <w:top w:w="0" w:type="dxa"/>
            <w:bottom w:w="0" w:type="dxa"/>
          </w:tblCellMar>
        </w:tblPrEx>
        <w:tc>
          <w:tcPr>
            <w:tcW w:w="2424" w:type="dxa"/>
            <w:gridSpan w:val="2"/>
            <w:vAlign w:val="center"/>
          </w:tcPr>
          <w:p w:rsidR="00BE4CED" w:rsidRDefault="00BE4CE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eastAsia="宋体" w:hint="eastAsia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:rsidR="00BE4CED" w:rsidRDefault="005E2214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 w:val="restart"/>
            <w:vAlign w:val="center"/>
          </w:tcPr>
          <w:p w:rsidR="00BE4CED" w:rsidRDefault="005E221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eastAsia="宋体" w:hint="eastAsia"/>
                <w:szCs w:val="24"/>
              </w:rPr>
              <w:t>2022</w:t>
            </w:r>
            <w:r>
              <w:rPr>
                <w:rFonts w:eastAsia="宋体" w:hint="eastAsia"/>
                <w:szCs w:val="24"/>
              </w:rPr>
              <w:t>年</w:t>
            </w:r>
            <w:r>
              <w:rPr>
                <w:rFonts w:eastAsia="宋体" w:hint="eastAsia"/>
                <w:szCs w:val="24"/>
              </w:rPr>
              <w:t>二季度</w:t>
            </w: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5</w:t>
            </w:r>
            <w:r>
              <w:rPr>
                <w:rFonts w:hint="eastAsia"/>
                <w:szCs w:val="24"/>
                <w:lang w:val="en-US"/>
              </w:rPr>
              <w:t>3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5</w:t>
            </w:r>
            <w:r>
              <w:rPr>
                <w:rFonts w:hint="eastAsia"/>
                <w:szCs w:val="24"/>
                <w:lang w:val="en-US"/>
              </w:rPr>
              <w:t>3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24" w:type="dxa"/>
            <w:vMerge/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存续金额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万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75068.73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75068.73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c>
          <w:tcPr>
            <w:tcW w:w="924" w:type="dxa"/>
            <w:vMerge/>
            <w:vAlign w:val="center"/>
          </w:tcPr>
          <w:p w:rsidR="00BE4CED" w:rsidRDefault="00BE4CE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BE4CED" w:rsidRDefault="005E2214"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 w:rsidR="00BE4CED" w:rsidRDefault="005E2214">
      <w:pPr>
        <w:widowControl/>
        <w:numPr>
          <w:ilvl w:val="0"/>
          <w:numId w:val="3"/>
        </w:numPr>
        <w:spacing w:line="560" w:lineRule="exact"/>
        <w:rPr>
          <w:rFonts w:ascii="黑体" w:eastAsia="黑体" w:hAnsi="黑体" w:cs="黑体"/>
          <w:bCs/>
          <w:sz w:val="28"/>
          <w:szCs w:val="32"/>
        </w:rPr>
      </w:pPr>
      <w:r>
        <w:rPr>
          <w:rFonts w:ascii="黑体" w:eastAsia="黑体" w:hAnsi="黑体" w:cs="黑体" w:hint="eastAsia"/>
          <w:bCs/>
          <w:sz w:val="28"/>
          <w:szCs w:val="32"/>
        </w:rPr>
        <w:t>理财产品投资资产情况</w:t>
      </w:r>
    </w:p>
    <w:p w:rsidR="00BE4CED" w:rsidRDefault="005E2214">
      <w:pPr>
        <w:spacing w:line="56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sz w:val="28"/>
          <w:szCs w:val="32"/>
        </w:rPr>
        <w:t>截止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2022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6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0</w:t>
      </w:r>
      <w:r>
        <w:rPr>
          <w:rFonts w:ascii="Times New Roman" w:hAnsi="Times New Roman" w:cs="Times New Roman"/>
          <w:bCs/>
          <w:sz w:val="28"/>
          <w:szCs w:val="32"/>
        </w:rPr>
        <w:t>日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,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我行理财投资资产余额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76762.31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万元（穿透后），其中投资于债券类资产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67672.61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万元，买入返售资产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6060.66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万元，公募基金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2789.76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万元，存款类资产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65.60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万元，同业存单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173.68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,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未投资非标准债权资产及其他资产。具体如下表：</w:t>
      </w:r>
    </w:p>
    <w:tbl>
      <w:tblPr>
        <w:tblpPr w:leftFromText="180" w:rightFromText="180" w:vertAnchor="text" w:horzAnchor="margin" w:tblpXSpec="right" w:tblpY="299"/>
        <w:tblW w:w="9246" w:type="dxa"/>
        <w:tblLayout w:type="fixed"/>
        <w:tblLook w:val="0000"/>
      </w:tblPr>
      <w:tblGrid>
        <w:gridCol w:w="3249"/>
        <w:gridCol w:w="3451"/>
        <w:gridCol w:w="2546"/>
      </w:tblGrid>
      <w:tr w:rsidR="00BE4CE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资产类型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金额（万元）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占比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债券类资产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67672.61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88.16</w:t>
            </w:r>
            <w:r>
              <w:rPr>
                <w:rFonts w:hint="eastAsia"/>
                <w:szCs w:val="24"/>
              </w:rPr>
              <w:t>%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买入返售资产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6060.66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7.90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公募基金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2789.76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3.63</w:t>
            </w:r>
            <w:r>
              <w:rPr>
                <w:rFonts w:hint="eastAsia"/>
                <w:szCs w:val="24"/>
              </w:rPr>
              <w:t>%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存款类资产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65.60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0.08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同业存单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173.68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0.23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</w:tr>
      <w:tr w:rsidR="00BE4CE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rFonts w:hint="eastAsia"/>
                <w:bCs/>
                <w:szCs w:val="24"/>
                <w:lang w:val="en-US"/>
              </w:rPr>
              <w:t>76762.31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4CED" w:rsidRDefault="005E221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100.00%</w:t>
            </w:r>
          </w:p>
        </w:tc>
      </w:tr>
    </w:tbl>
    <w:p w:rsidR="00BE4CED" w:rsidRDefault="00BE4CED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:rsidR="00BE4CED" w:rsidRDefault="00BE4CED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:rsidR="00BE4CED" w:rsidRDefault="00BE4CED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:rsidR="00BE4CED" w:rsidRDefault="00BE4CED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:rsidR="00BE4CED" w:rsidRDefault="00BE4CED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:rsidR="00BE4CED" w:rsidRDefault="005E2214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浙江南浔农村商业银行股份有限公司</w:t>
      </w:r>
    </w:p>
    <w:p w:rsidR="00BE4CED" w:rsidRDefault="005E2214">
      <w:pPr>
        <w:widowControl/>
        <w:spacing w:line="560" w:lineRule="exact"/>
        <w:ind w:right="1280" w:firstLineChars="200" w:firstLine="560"/>
        <w:jc w:val="center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                        2022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7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5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>日</w:t>
      </w: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</w:t>
      </w:r>
    </w:p>
    <w:p w:rsidR="00BE4CED" w:rsidRDefault="005E2214">
      <w:pPr>
        <w:widowControl/>
        <w:spacing w:line="560" w:lineRule="exact"/>
        <w:ind w:firstLineChars="200" w:firstLine="560"/>
        <w:jc w:val="center"/>
        <w:rPr>
          <w:bCs/>
          <w:sz w:val="32"/>
          <w:szCs w:val="32"/>
          <w:lang w:val="en-US"/>
        </w:rPr>
      </w:pPr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                                   </w:t>
      </w:r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 </w:t>
      </w:r>
    </w:p>
    <w:sectPr w:rsidR="00BE4CED" w:rsidSect="00BE4CED">
      <w:footerReference w:type="default" r:id="rId8"/>
      <w:pgSz w:w="11910" w:h="16840"/>
      <w:pgMar w:top="1500" w:right="1380" w:bottom="1500" w:left="1500" w:header="0" w:footer="1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14" w:rsidRDefault="005E2214" w:rsidP="00BE4CED">
      <w:r>
        <w:separator/>
      </w:r>
    </w:p>
  </w:endnote>
  <w:endnote w:type="continuationSeparator" w:id="0">
    <w:p w:rsidR="005E2214" w:rsidRDefault="005E2214" w:rsidP="00BE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ED" w:rsidRDefault="00BE4CED">
    <w:pPr>
      <w:pStyle w:val="a4"/>
      <w:spacing w:line="14" w:lineRule="auto"/>
      <w:rPr>
        <w:sz w:val="20"/>
      </w:rPr>
    </w:pPr>
    <w:r w:rsidRPr="00BE4CED">
      <w:rPr>
        <w:lang w:val="en-US" w:bidi="ar-SA"/>
      </w:rPr>
      <w:pict>
        <v:rect id="文本框 1034" o:spid="_x0000_s2049" style="position:absolute;margin-left:291.05pt;margin-top:765.1pt;width:13.15pt;height:11pt;z-index:-251658752;mso-position-horizontal-relative:page;mso-position-vertical-relative:page" o:preferrelative="t" filled="f" stroked="f">
          <v:textbox inset="0,0,0,0">
            <w:txbxContent>
              <w:p w:rsidR="00BE4CED" w:rsidRDefault="00BE4CED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5E2214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329E3"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14" w:rsidRDefault="005E2214" w:rsidP="00BE4CED">
      <w:r>
        <w:separator/>
      </w:r>
    </w:p>
  </w:footnote>
  <w:footnote w:type="continuationSeparator" w:id="0">
    <w:p w:rsidR="005E2214" w:rsidRDefault="005E2214" w:rsidP="00BE4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723"/>
    <w:multiLevelType w:val="multilevel"/>
    <w:tmpl w:val="0A440723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1E930D"/>
    <w:multiLevelType w:val="singleLevel"/>
    <w:tmpl w:val="4C1E93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751CDB"/>
    <w:multiLevelType w:val="singleLevel"/>
    <w:tmpl w:val="5C751CDB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CED"/>
    <w:rsid w:val="005E2214"/>
    <w:rsid w:val="00A329E3"/>
    <w:rsid w:val="00BE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CED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rsid w:val="00BE4CED"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BE4CED"/>
    <w:rPr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BE4CE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E4C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BE4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E4CED"/>
    <w:pPr>
      <w:spacing w:beforeAutospacing="1" w:afterAutospacing="1"/>
    </w:pPr>
    <w:rPr>
      <w:rFonts w:cs="Times New Roman"/>
      <w:sz w:val="24"/>
    </w:rPr>
  </w:style>
  <w:style w:type="character" w:customStyle="1" w:styleId="Char0">
    <w:name w:val="正文文本 Char"/>
    <w:basedOn w:val="a0"/>
    <w:link w:val="a4"/>
    <w:uiPriority w:val="1"/>
    <w:rsid w:val="00BE4CED"/>
    <w:rPr>
      <w:rFonts w:ascii="仿宋" w:eastAsia="仿宋" w:hAnsi="仿宋" w:cs="仿宋"/>
      <w:kern w:val="0"/>
      <w:sz w:val="30"/>
      <w:szCs w:val="30"/>
      <w:lang w:val="zh-CN" w:bidi="zh-CN"/>
    </w:rPr>
  </w:style>
  <w:style w:type="character" w:customStyle="1" w:styleId="Char1">
    <w:name w:val="批注框文本 Char"/>
    <w:basedOn w:val="a0"/>
    <w:link w:val="a5"/>
    <w:uiPriority w:val="99"/>
    <w:semiHidden/>
    <w:rsid w:val="00BE4CED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Char3">
    <w:name w:val="页眉 Char"/>
    <w:basedOn w:val="a0"/>
    <w:link w:val="a7"/>
    <w:uiPriority w:val="99"/>
    <w:semiHidden/>
    <w:rsid w:val="00BE4CED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Char2">
    <w:name w:val="页脚 Char"/>
    <w:basedOn w:val="a0"/>
    <w:link w:val="a6"/>
    <w:uiPriority w:val="99"/>
    <w:semiHidden/>
    <w:rsid w:val="00BE4CED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Char">
    <w:name w:val="文档结构图 Char"/>
    <w:basedOn w:val="a0"/>
    <w:link w:val="a3"/>
    <w:semiHidden/>
    <w:rsid w:val="00BE4CED"/>
    <w:rPr>
      <w:rFonts w:ascii="宋体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南浔农商行2020年理财产品第三季度报告</dc:title>
  <dc:creator>陆琴美</dc:creator>
  <cp:lastModifiedBy>李玲</cp:lastModifiedBy>
  <cp:revision>2</cp:revision>
  <dcterms:created xsi:type="dcterms:W3CDTF">2022-07-05T06:40:00Z</dcterms:created>
  <dcterms:modified xsi:type="dcterms:W3CDTF">2022-07-05T06:40:00Z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