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FAE60" w14:textId="77777777" w:rsidR="00837EB6" w:rsidRPr="000A1FCA" w:rsidRDefault="00685B3C">
      <w:pPr>
        <w:rPr>
          <w:rFonts w:ascii="仿宋_GB2312" w:eastAsia="仿宋_GB2312" w:cs="宋体"/>
          <w:kern w:val="0"/>
          <w:sz w:val="28"/>
          <w:szCs w:val="28"/>
        </w:rPr>
      </w:pPr>
      <w:r w:rsidRPr="000A1FCA">
        <w:rPr>
          <w:rFonts w:ascii="仿宋_GB2312" w:eastAsia="仿宋_GB2312" w:cs="宋体" w:hint="eastAsia"/>
          <w:kern w:val="0"/>
          <w:sz w:val="28"/>
          <w:szCs w:val="28"/>
        </w:rPr>
        <w:t>附件2</w:t>
      </w:r>
    </w:p>
    <w:p w14:paraId="5CC17BC7" w14:textId="77777777" w:rsidR="00837EB6" w:rsidRPr="000A1FCA" w:rsidRDefault="00685B3C">
      <w:pPr>
        <w:autoSpaceDE w:val="0"/>
        <w:autoSpaceDN w:val="0"/>
        <w:jc w:val="center"/>
        <w:rPr>
          <w:rFonts w:ascii="黑体" w:eastAsia="黑体"/>
          <w:b/>
          <w:sz w:val="28"/>
          <w:szCs w:val="28"/>
        </w:rPr>
      </w:pPr>
      <w:r w:rsidRPr="000A1FCA">
        <w:rPr>
          <w:rFonts w:ascii="黑体" w:eastAsia="黑体" w:hint="eastAsia"/>
          <w:b/>
          <w:sz w:val="28"/>
          <w:szCs w:val="28"/>
        </w:rPr>
        <w:t>浙江南浔农村商业银行股份有限公司丰收喜悦</w:t>
      </w:r>
    </w:p>
    <w:p w14:paraId="05B67882" w14:textId="77777777" w:rsidR="00837EB6" w:rsidRPr="000A1FCA" w:rsidRDefault="00935FD5">
      <w:pPr>
        <w:autoSpaceDE w:val="0"/>
        <w:autoSpaceDN w:val="0"/>
        <w:jc w:val="center"/>
        <w:rPr>
          <w:rFonts w:ascii="仿宋_GB2312" w:hAnsi="华文楷体"/>
          <w:b/>
          <w:sz w:val="28"/>
          <w:szCs w:val="28"/>
        </w:rPr>
      </w:pPr>
      <w:r w:rsidRPr="000A1FCA">
        <w:rPr>
          <w:rFonts w:ascii="黑体" w:eastAsia="黑体" w:hint="eastAsia"/>
          <w:b/>
          <w:sz w:val="28"/>
          <w:szCs w:val="28"/>
        </w:rPr>
        <w:t>超短期</w:t>
      </w:r>
      <w:r w:rsidR="00685B3C" w:rsidRPr="000A1FCA">
        <w:rPr>
          <w:rFonts w:ascii="黑体" w:eastAsia="黑体" w:hint="eastAsia"/>
          <w:b/>
          <w:sz w:val="28"/>
          <w:szCs w:val="28"/>
        </w:rPr>
        <w:t>开放净值型理财产品说明书</w:t>
      </w:r>
    </w:p>
    <w:p w14:paraId="4439C654" w14:textId="77777777" w:rsidR="00837EB6" w:rsidRPr="000A1FCA" w:rsidRDefault="00685B3C">
      <w:pPr>
        <w:topLinePunct/>
        <w:spacing w:line="300" w:lineRule="exact"/>
        <w:rPr>
          <w:rFonts w:ascii="黑体" w:eastAsia="黑体" w:hAnsi="黑体" w:cs="黑体"/>
          <w:b/>
          <w:bCs/>
          <w:sz w:val="20"/>
          <w:szCs w:val="18"/>
        </w:rPr>
      </w:pPr>
      <w:r w:rsidRPr="000A1FCA">
        <w:rPr>
          <w:rFonts w:ascii="黑体" w:eastAsia="黑体" w:hAnsi="黑体" w:cs="黑体" w:hint="eastAsia"/>
          <w:b/>
          <w:bCs/>
          <w:sz w:val="20"/>
          <w:szCs w:val="18"/>
        </w:rPr>
        <w:t>重要提示：</w:t>
      </w:r>
    </w:p>
    <w:p w14:paraId="777A59B5" w14:textId="77777777" w:rsidR="00837EB6" w:rsidRPr="000A1FCA" w:rsidRDefault="00685B3C">
      <w:pPr>
        <w:topLinePunct/>
        <w:spacing w:line="300" w:lineRule="exact"/>
        <w:rPr>
          <w:rFonts w:ascii="黑体" w:eastAsia="黑体" w:hAnsi="黑体" w:cs="黑体"/>
          <w:bCs/>
          <w:sz w:val="20"/>
          <w:szCs w:val="18"/>
        </w:rPr>
      </w:pPr>
      <w:r w:rsidRPr="000A1FCA">
        <w:rPr>
          <w:rFonts w:ascii="宋体" w:hAnsi="宋体" w:cs="宋体" w:hint="eastAsia"/>
          <w:b/>
          <w:bCs/>
          <w:sz w:val="20"/>
          <w:szCs w:val="18"/>
        </w:rPr>
        <w:t> </w:t>
      </w:r>
    </w:p>
    <w:p w14:paraId="2BD062C0" w14:textId="77777777" w:rsidR="00837EB6" w:rsidRPr="000A1FCA" w:rsidRDefault="00685B3C">
      <w:pPr>
        <w:widowControl/>
        <w:snapToGrid w:val="0"/>
        <w:rPr>
          <w:rFonts w:ascii="黑体" w:eastAsia="黑体" w:hAnsi="黑体" w:cs="宋体"/>
          <w:kern w:val="0"/>
          <w:sz w:val="16"/>
          <w:szCs w:val="21"/>
        </w:rPr>
      </w:pPr>
      <w:r w:rsidRPr="000A1FCA">
        <w:rPr>
          <w:rFonts w:ascii="黑体" w:eastAsia="黑体" w:hAnsi="黑体" w:cs="宋体" w:hint="eastAsia"/>
          <w:kern w:val="0"/>
          <w:sz w:val="20"/>
          <w:szCs w:val="21"/>
        </w:rPr>
        <w:t>★</w:t>
      </w:r>
      <w:r w:rsidRPr="000A1FCA">
        <w:rPr>
          <w:rFonts w:ascii="黑体" w:eastAsia="黑体" w:hAnsi="黑体" w:cs="宋体" w:hint="eastAsia"/>
          <w:kern w:val="0"/>
          <w:sz w:val="16"/>
          <w:szCs w:val="21"/>
        </w:rPr>
        <w:t xml:space="preserve"> 银行销售的理财产品与存款存在明显区别，理财非存款、产品有风险、投资须谨慎。</w:t>
      </w:r>
    </w:p>
    <w:p w14:paraId="74692C19" w14:textId="77777777" w:rsidR="00837EB6" w:rsidRPr="000A1FCA" w:rsidRDefault="00685B3C" w:rsidP="00556CC4">
      <w:pPr>
        <w:widowControl/>
        <w:snapToGrid w:val="0"/>
        <w:spacing w:line="276" w:lineRule="auto"/>
        <w:ind w:left="235" w:hangingChars="147" w:hanging="235"/>
        <w:rPr>
          <w:rFonts w:ascii="黑体" w:eastAsia="黑体" w:hAnsi="黑体" w:cs="宋体"/>
          <w:bCs/>
          <w:kern w:val="0"/>
          <w:sz w:val="16"/>
          <w:szCs w:val="21"/>
        </w:rPr>
      </w:pPr>
      <w:r w:rsidRPr="000A1FCA">
        <w:rPr>
          <w:rFonts w:ascii="黑体" w:eastAsia="黑体" w:hAnsi="黑体" w:cs="宋体" w:hint="eastAsia"/>
          <w:kern w:val="0"/>
          <w:sz w:val="16"/>
          <w:szCs w:val="21"/>
        </w:rPr>
        <w:t>★ 本产品为非保本净值型产品，</w:t>
      </w:r>
      <w:r w:rsidRPr="000A1FCA">
        <w:rPr>
          <w:rFonts w:ascii="黑体" w:eastAsia="黑体" w:hAnsi="黑体" w:cs="宋体" w:hint="eastAsia"/>
          <w:kern w:val="0"/>
          <w:sz w:val="16"/>
          <w:szCs w:val="20"/>
        </w:rPr>
        <w:t>浙江南浔农村商业银行股份有限公司</w:t>
      </w:r>
      <w:r w:rsidRPr="000A1FCA">
        <w:rPr>
          <w:rFonts w:ascii="黑体" w:eastAsia="黑体" w:hAnsi="黑体" w:cs="宋体" w:hint="eastAsia"/>
          <w:kern w:val="0"/>
          <w:sz w:val="16"/>
          <w:szCs w:val="21"/>
        </w:rPr>
        <w:t>(以下简称“南浔农商银行”)理财产品风险评级为</w:t>
      </w:r>
      <w:r w:rsidRPr="000A1FCA">
        <w:rPr>
          <w:rFonts w:ascii="黑体" w:eastAsia="黑体" w:hAnsi="黑体" w:cs="宋体" w:hint="eastAsia"/>
          <w:bCs/>
          <w:kern w:val="0"/>
          <w:sz w:val="16"/>
          <w:szCs w:val="21"/>
        </w:rPr>
        <w:t>【PR2】中低风险理财产品，面向具有一定风险承受能力的有投资经验投资者销售。</w:t>
      </w:r>
    </w:p>
    <w:p w14:paraId="01CDBECF" w14:textId="77777777" w:rsidR="00837EB6" w:rsidRPr="000A1FCA" w:rsidRDefault="00685B3C" w:rsidP="00556CC4">
      <w:pPr>
        <w:widowControl/>
        <w:snapToGrid w:val="0"/>
        <w:ind w:left="240" w:hangingChars="150" w:hanging="240"/>
        <w:rPr>
          <w:rFonts w:ascii="黑体" w:eastAsia="黑体" w:hAnsi="黑体" w:cs="宋体"/>
          <w:kern w:val="0"/>
          <w:sz w:val="16"/>
          <w:szCs w:val="21"/>
        </w:rPr>
      </w:pPr>
      <w:r w:rsidRPr="000A1FCA">
        <w:rPr>
          <w:rFonts w:ascii="黑体" w:eastAsia="黑体" w:hAnsi="黑体" w:cs="宋体" w:hint="eastAsia"/>
          <w:kern w:val="0"/>
          <w:sz w:val="16"/>
          <w:szCs w:val="21"/>
        </w:rPr>
        <w:t>★　南浔农商银行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14:paraId="4D1DCB43" w14:textId="77777777" w:rsidR="00837EB6" w:rsidRPr="000A1FCA" w:rsidRDefault="00685B3C" w:rsidP="00556CC4">
      <w:pPr>
        <w:widowControl/>
        <w:snapToGrid w:val="0"/>
        <w:ind w:left="240" w:hangingChars="150" w:hanging="240"/>
        <w:rPr>
          <w:rFonts w:ascii="黑体" w:eastAsia="黑体" w:hAnsi="黑体" w:cs="宋体"/>
          <w:kern w:val="0"/>
          <w:sz w:val="16"/>
          <w:szCs w:val="21"/>
        </w:rPr>
      </w:pPr>
      <w:r w:rsidRPr="000A1FCA">
        <w:rPr>
          <w:rFonts w:ascii="黑体" w:eastAsia="黑体" w:hAnsi="黑体" w:cs="宋体" w:hint="eastAsia"/>
          <w:kern w:val="0"/>
          <w:sz w:val="16"/>
          <w:szCs w:val="21"/>
        </w:rPr>
        <w:t>★ 本产品的业绩比较基准或类似表述不代表投资者可能获得的实际收益，亦不构成南浔农商银行对本产品的任何收益承诺，仅供投资者进行投资决定时参考。</w:t>
      </w:r>
    </w:p>
    <w:p w14:paraId="0B0BAECC" w14:textId="77777777" w:rsidR="00837EB6" w:rsidRPr="000A1FCA" w:rsidRDefault="00685B3C" w:rsidP="00556CC4">
      <w:pPr>
        <w:widowControl/>
        <w:snapToGrid w:val="0"/>
        <w:ind w:left="240" w:hangingChars="150" w:hanging="240"/>
        <w:rPr>
          <w:rFonts w:ascii="黑体" w:eastAsia="黑体" w:hAnsi="黑体" w:cs="宋体"/>
          <w:kern w:val="0"/>
          <w:sz w:val="16"/>
          <w:szCs w:val="21"/>
        </w:rPr>
      </w:pPr>
      <w:r w:rsidRPr="000A1FCA">
        <w:rPr>
          <w:rFonts w:ascii="黑体" w:eastAsia="黑体" w:hAnsi="黑体" w:cs="宋体" w:hint="eastAsia"/>
          <w:kern w:val="0"/>
          <w:sz w:val="16"/>
          <w:szCs w:val="21"/>
        </w:rPr>
        <w:t>★　南浔农商银行郑重提示：本产品说明书、风险揭示书、投资者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14:paraId="5A3D9057" w14:textId="77777777" w:rsidR="00837EB6" w:rsidRPr="000A1FCA" w:rsidRDefault="00685B3C" w:rsidP="00556CC4">
      <w:pPr>
        <w:widowControl/>
        <w:snapToGrid w:val="0"/>
        <w:ind w:left="240" w:hangingChars="150" w:hanging="240"/>
        <w:rPr>
          <w:rFonts w:ascii="黑体" w:eastAsia="黑体" w:hAnsi="黑体" w:cs="宋体"/>
          <w:kern w:val="0"/>
          <w:sz w:val="16"/>
          <w:szCs w:val="21"/>
        </w:rPr>
      </w:pPr>
      <w:r w:rsidRPr="000A1FCA">
        <w:rPr>
          <w:rFonts w:ascii="黑体" w:eastAsia="黑体" w:hAnsi="黑体" w:cs="宋体" w:hint="eastAsia"/>
          <w:kern w:val="0"/>
          <w:sz w:val="16"/>
          <w:szCs w:val="21"/>
        </w:rPr>
        <w:t>★ 投资者对本产品说明书的内容有任何疑问，请向南浔农商银行咨询。在购买本产品后，投资者应随时关注该理财产品的信息披露情况，及时获取相关信息。</w:t>
      </w:r>
      <w:r w:rsidRPr="000A1FCA">
        <w:rPr>
          <w:rFonts w:ascii="宋体" w:eastAsia="黑体" w:hAnsi="宋体" w:cs="宋体" w:hint="eastAsia"/>
          <w:kern w:val="0"/>
          <w:sz w:val="16"/>
          <w:szCs w:val="21"/>
        </w:rPr>
        <w:t> </w:t>
      </w:r>
    </w:p>
    <w:p w14:paraId="06D73758" w14:textId="77777777" w:rsidR="00837EB6" w:rsidRPr="000A1FCA" w:rsidRDefault="00837EB6">
      <w:pPr>
        <w:topLinePunct/>
        <w:spacing w:line="300" w:lineRule="exact"/>
        <w:rPr>
          <w:rFonts w:ascii="黑体" w:eastAsia="黑体" w:hAnsi="黑体" w:cs="黑体"/>
          <w:sz w:val="20"/>
          <w:szCs w:val="18"/>
        </w:rPr>
      </w:pPr>
    </w:p>
    <w:p w14:paraId="0972E75D" w14:textId="77777777" w:rsidR="00837EB6" w:rsidRPr="000A1FCA" w:rsidRDefault="00685B3C">
      <w:pPr>
        <w:topLinePunct/>
        <w:spacing w:line="300" w:lineRule="exact"/>
        <w:rPr>
          <w:rFonts w:ascii="黑体" w:eastAsia="黑体" w:hAnsi="黑体" w:cs="黑体"/>
          <w:b/>
          <w:sz w:val="20"/>
          <w:szCs w:val="18"/>
        </w:rPr>
      </w:pPr>
      <w:r w:rsidRPr="000A1FCA">
        <w:rPr>
          <w:rFonts w:ascii="黑体" w:eastAsia="黑体" w:hAnsi="黑体" w:cs="黑体" w:hint="eastAsia"/>
          <w:b/>
          <w:sz w:val="20"/>
          <w:szCs w:val="18"/>
        </w:rPr>
        <w:t>下面产品风险评级和相关描述，为浙江南浔农村商业银行股份有限公司内部资料，仅供投资者参考：</w:t>
      </w:r>
    </w:p>
    <w:p w14:paraId="18229DB3" w14:textId="77777777" w:rsidR="00837EB6" w:rsidRPr="000A1FCA" w:rsidRDefault="00685B3C">
      <w:pPr>
        <w:tabs>
          <w:tab w:val="left" w:pos="0"/>
        </w:tabs>
        <w:spacing w:line="300" w:lineRule="exact"/>
        <w:ind w:firstLineChars="197" w:firstLine="394"/>
        <w:rPr>
          <w:rFonts w:ascii="黑体" w:eastAsia="黑体" w:hAnsi="黑体" w:cs="黑体"/>
          <w:bCs/>
          <w:sz w:val="20"/>
          <w:szCs w:val="18"/>
        </w:rPr>
      </w:pPr>
      <w:r w:rsidRPr="000A1FCA">
        <w:rPr>
          <w:rFonts w:ascii="黑体" w:eastAsia="黑体" w:hAnsi="黑体" w:cs="黑体" w:hint="eastAsia"/>
          <w:bCs/>
          <w:sz w:val="20"/>
          <w:szCs w:val="18"/>
        </w:rPr>
        <w:t>根据浙江南浔农村商业银行股份有限公司内部风险评级标准，本理财产品的风险等级为PR2（中低风险）。该类理财产品的总体风险程度较低，浙江南浔农村商业银行股份有限公司不承诺本金保障但本金亏损的概率较低，适合经浙江南浔农村商业银行股份有限公司风险承受能力评估为谨慎型、平衡型、进取型、激进型的客户。</w:t>
      </w:r>
    </w:p>
    <w:p w14:paraId="03089760" w14:textId="77777777" w:rsidR="00837EB6" w:rsidRPr="000A1FCA" w:rsidRDefault="00685B3C">
      <w:pPr>
        <w:widowControl/>
        <w:jc w:val="center"/>
        <w:rPr>
          <w:rFonts w:ascii="黑体" w:eastAsia="黑体" w:hAnsi="黑体" w:cs="宋体"/>
          <w:kern w:val="0"/>
          <w:sz w:val="36"/>
        </w:rPr>
      </w:pPr>
      <w:r w:rsidRPr="000A1FCA">
        <w:rPr>
          <w:rFonts w:ascii="黑体" w:eastAsia="黑体" w:hAnsi="黑体" w:cs="宋体" w:hint="eastAsia"/>
          <w:b/>
          <w:kern w:val="0"/>
          <w:sz w:val="22"/>
        </w:rPr>
        <w:t>一、产品概述</w:t>
      </w:r>
    </w:p>
    <w:tbl>
      <w:tblPr>
        <w:tblW w:w="8409" w:type="dxa"/>
        <w:tblBorders>
          <w:top w:val="single" w:sz="4" w:space="0" w:color="000000"/>
          <w:left w:val="single" w:sz="4" w:space="0" w:color="000000"/>
          <w:bottom w:val="single" w:sz="4" w:space="0" w:color="000000"/>
          <w:right w:val="single" w:sz="4" w:space="0" w:color="000000"/>
        </w:tblBorders>
        <w:tblLayout w:type="fixed"/>
        <w:tblCellMar>
          <w:top w:w="45" w:type="dxa"/>
          <w:left w:w="45" w:type="dxa"/>
          <w:bottom w:w="45" w:type="dxa"/>
          <w:right w:w="45" w:type="dxa"/>
        </w:tblCellMar>
        <w:tblLook w:val="04A0" w:firstRow="1" w:lastRow="0" w:firstColumn="1" w:lastColumn="0" w:noHBand="0" w:noVBand="1"/>
      </w:tblPr>
      <w:tblGrid>
        <w:gridCol w:w="1665"/>
        <w:gridCol w:w="6744"/>
      </w:tblGrid>
      <w:tr w:rsidR="00837EB6" w:rsidRPr="000A1FCA" w14:paraId="4314CD7D" w14:textId="77777777">
        <w:trPr>
          <w:trHeight w:val="361"/>
        </w:trPr>
        <w:tc>
          <w:tcPr>
            <w:tcW w:w="1665" w:type="dxa"/>
            <w:tcBorders>
              <w:top w:val="single" w:sz="4" w:space="0" w:color="000000"/>
              <w:left w:val="single" w:sz="4" w:space="0" w:color="000000"/>
              <w:bottom w:val="single" w:sz="4" w:space="0" w:color="000000"/>
              <w:right w:val="single" w:sz="4" w:space="0" w:color="000000"/>
            </w:tcBorders>
            <w:vAlign w:val="center"/>
          </w:tcPr>
          <w:p w14:paraId="7BA3EBF4"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产品名称</w:t>
            </w:r>
          </w:p>
        </w:tc>
        <w:tc>
          <w:tcPr>
            <w:tcW w:w="6744" w:type="dxa"/>
            <w:tcBorders>
              <w:top w:val="single" w:sz="4" w:space="0" w:color="000000"/>
              <w:left w:val="single" w:sz="4" w:space="0" w:color="000000"/>
              <w:bottom w:val="single" w:sz="4" w:space="0" w:color="000000"/>
              <w:right w:val="single" w:sz="4" w:space="0" w:color="000000"/>
            </w:tcBorders>
            <w:vAlign w:val="center"/>
          </w:tcPr>
          <w:p w14:paraId="5A9FE4AE" w14:textId="77777777" w:rsidR="00837EB6" w:rsidRPr="000A1FCA" w:rsidRDefault="00935FD5">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浙江南浔农村商业银行股份有限公司丰收喜悦超短期</w:t>
            </w:r>
            <w:r w:rsidR="00685B3C" w:rsidRPr="000A1FCA">
              <w:rPr>
                <w:rFonts w:ascii="黑体" w:eastAsia="黑体" w:hAnsi="黑体" w:cs="宋体" w:hint="eastAsia"/>
                <w:kern w:val="0"/>
                <w:sz w:val="20"/>
                <w:szCs w:val="20"/>
              </w:rPr>
              <w:t>开放净值型理财产品</w:t>
            </w:r>
          </w:p>
        </w:tc>
      </w:tr>
      <w:tr w:rsidR="00837EB6" w:rsidRPr="000A1FCA" w14:paraId="399A2A84" w14:textId="77777777">
        <w:tc>
          <w:tcPr>
            <w:tcW w:w="1665" w:type="dxa"/>
            <w:tcBorders>
              <w:top w:val="single" w:sz="4" w:space="0" w:color="000000"/>
              <w:left w:val="single" w:sz="4" w:space="0" w:color="000000"/>
              <w:bottom w:val="single" w:sz="4" w:space="0" w:color="000000"/>
              <w:right w:val="single" w:sz="4" w:space="0" w:color="000000"/>
            </w:tcBorders>
            <w:vAlign w:val="center"/>
          </w:tcPr>
          <w:p w14:paraId="101C0BEE"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产品代码</w:t>
            </w:r>
          </w:p>
        </w:tc>
        <w:tc>
          <w:tcPr>
            <w:tcW w:w="6744" w:type="dxa"/>
            <w:tcBorders>
              <w:top w:val="single" w:sz="4" w:space="0" w:color="000000"/>
              <w:left w:val="single" w:sz="4" w:space="0" w:color="000000"/>
              <w:bottom w:val="single" w:sz="4" w:space="0" w:color="000000"/>
              <w:right w:val="single" w:sz="4" w:space="0" w:color="000000"/>
            </w:tcBorders>
            <w:vAlign w:val="center"/>
          </w:tcPr>
          <w:p w14:paraId="1F0262EF" w14:textId="77777777" w:rsidR="00837EB6" w:rsidRPr="000A1FCA" w:rsidRDefault="00935FD5">
            <w:pPr>
              <w:widowControl/>
              <w:adjustRightInd w:val="0"/>
              <w:snapToGrid w:val="0"/>
              <w:spacing w:line="276" w:lineRule="auto"/>
              <w:jc w:val="left"/>
              <w:rPr>
                <w:rFonts w:ascii="黑体" w:eastAsia="黑体" w:hAnsi="黑体" w:cs="宋体"/>
                <w:b/>
                <w:kern w:val="0"/>
                <w:sz w:val="20"/>
                <w:szCs w:val="20"/>
              </w:rPr>
            </w:pPr>
            <w:r w:rsidRPr="000A1FCA">
              <w:rPr>
                <w:rFonts w:ascii="黑体" w:eastAsia="黑体" w:hAnsi="黑体" w:cs="宋体" w:hint="eastAsia"/>
                <w:bCs/>
                <w:kern w:val="0"/>
                <w:sz w:val="20"/>
                <w:szCs w:val="20"/>
              </w:rPr>
              <w:t>NXFSXY</w:t>
            </w:r>
            <w:r w:rsidR="00685B3C" w:rsidRPr="000A1FCA">
              <w:rPr>
                <w:rFonts w:ascii="黑体" w:eastAsia="黑体" w:hAnsi="黑体" w:cs="宋体" w:hint="eastAsia"/>
                <w:bCs/>
                <w:kern w:val="0"/>
                <w:sz w:val="20"/>
                <w:szCs w:val="20"/>
              </w:rPr>
              <w:t>2021001</w:t>
            </w:r>
          </w:p>
        </w:tc>
      </w:tr>
      <w:tr w:rsidR="00837EB6" w:rsidRPr="000A1FCA" w14:paraId="1DBD280B" w14:textId="77777777">
        <w:tc>
          <w:tcPr>
            <w:tcW w:w="1665" w:type="dxa"/>
            <w:tcBorders>
              <w:top w:val="single" w:sz="4" w:space="0" w:color="000000"/>
              <w:left w:val="single" w:sz="4" w:space="0" w:color="000000"/>
              <w:bottom w:val="single" w:sz="4" w:space="0" w:color="000000"/>
              <w:right w:val="single" w:sz="4" w:space="0" w:color="000000"/>
            </w:tcBorders>
            <w:vAlign w:val="center"/>
          </w:tcPr>
          <w:p w14:paraId="6A5DCC90"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理财产品</w:t>
            </w:r>
          </w:p>
          <w:p w14:paraId="2B7D9C83"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登记编码</w:t>
            </w:r>
          </w:p>
        </w:tc>
        <w:tc>
          <w:tcPr>
            <w:tcW w:w="6744" w:type="dxa"/>
            <w:tcBorders>
              <w:top w:val="single" w:sz="4" w:space="0" w:color="000000"/>
              <w:left w:val="single" w:sz="4" w:space="0" w:color="000000"/>
              <w:bottom w:val="single" w:sz="4" w:space="0" w:color="000000"/>
              <w:right w:val="single" w:sz="4" w:space="0" w:color="000000"/>
            </w:tcBorders>
            <w:vAlign w:val="center"/>
          </w:tcPr>
          <w:p w14:paraId="0CEA0C29" w14:textId="77777777" w:rsidR="00837EB6" w:rsidRPr="000A1FCA" w:rsidRDefault="000F59E9">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Ｃ1124521000036</w:t>
            </w:r>
            <w:r w:rsidR="00685B3C" w:rsidRPr="000A1FCA">
              <w:rPr>
                <w:rFonts w:ascii="黑体" w:eastAsia="黑体" w:hAnsi="黑体" w:cs="宋体" w:hint="eastAsia"/>
                <w:kern w:val="0"/>
                <w:sz w:val="20"/>
                <w:szCs w:val="20"/>
              </w:rPr>
              <w:t>。</w:t>
            </w:r>
          </w:p>
          <w:p w14:paraId="09E127B6" w14:textId="77777777" w:rsidR="00837EB6" w:rsidRPr="000A1FCA" w:rsidRDefault="00685B3C">
            <w:pPr>
              <w:widowControl/>
              <w:adjustRightInd w:val="0"/>
              <w:snapToGrid w:val="0"/>
              <w:spacing w:line="276" w:lineRule="auto"/>
              <w:jc w:val="left"/>
              <w:rPr>
                <w:rFonts w:ascii="黑体" w:eastAsia="黑体" w:hAnsi="黑体" w:cs="宋体"/>
                <w:b/>
                <w:kern w:val="0"/>
                <w:sz w:val="20"/>
                <w:szCs w:val="20"/>
              </w:rPr>
            </w:pPr>
            <w:r w:rsidRPr="000A1FCA">
              <w:rPr>
                <w:rFonts w:ascii="黑体" w:eastAsia="黑体" w:hAnsi="黑体" w:cs="宋体" w:hint="eastAsia"/>
                <w:kern w:val="0"/>
                <w:sz w:val="20"/>
                <w:szCs w:val="20"/>
              </w:rPr>
              <w:t>可根据该登记编码在中国理财网（www.chinawealth.com.cn）查询该产品信息</w:t>
            </w:r>
          </w:p>
        </w:tc>
      </w:tr>
      <w:tr w:rsidR="00837EB6" w:rsidRPr="000A1FCA" w14:paraId="5161E9A3" w14:textId="77777777">
        <w:tc>
          <w:tcPr>
            <w:tcW w:w="1665" w:type="dxa"/>
            <w:tcBorders>
              <w:top w:val="single" w:sz="4" w:space="0" w:color="000000"/>
              <w:left w:val="single" w:sz="4" w:space="0" w:color="000000"/>
              <w:bottom w:val="single" w:sz="4" w:space="0" w:color="000000"/>
              <w:right w:val="single" w:sz="4" w:space="0" w:color="000000"/>
            </w:tcBorders>
          </w:tcPr>
          <w:p w14:paraId="7CB5E6F0"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产品类型</w:t>
            </w:r>
          </w:p>
        </w:tc>
        <w:tc>
          <w:tcPr>
            <w:tcW w:w="6744" w:type="dxa"/>
            <w:tcBorders>
              <w:top w:val="single" w:sz="4" w:space="0" w:color="000000"/>
              <w:left w:val="single" w:sz="4" w:space="0" w:color="000000"/>
              <w:bottom w:val="single" w:sz="4" w:space="0" w:color="000000"/>
              <w:right w:val="single" w:sz="4" w:space="0" w:color="000000"/>
            </w:tcBorders>
          </w:tcPr>
          <w:p w14:paraId="69698730" w14:textId="77777777" w:rsidR="00837EB6" w:rsidRPr="000A1FCA" w:rsidRDefault="00685B3C">
            <w:pPr>
              <w:widowControl/>
              <w:adjustRightInd w:val="0"/>
              <w:snapToGrid w:val="0"/>
              <w:spacing w:line="276" w:lineRule="auto"/>
              <w:jc w:val="left"/>
              <w:rPr>
                <w:rFonts w:ascii="黑体" w:eastAsia="黑体" w:hAnsi="黑体" w:cs="宋体"/>
                <w:b/>
                <w:kern w:val="0"/>
                <w:sz w:val="20"/>
                <w:szCs w:val="20"/>
              </w:rPr>
            </w:pPr>
            <w:r w:rsidRPr="000A1FCA">
              <w:rPr>
                <w:rFonts w:ascii="黑体" w:eastAsia="黑体" w:hAnsi="黑体" w:cs="宋体" w:hint="eastAsia"/>
                <w:b/>
                <w:kern w:val="0"/>
                <w:sz w:val="20"/>
                <w:szCs w:val="20"/>
              </w:rPr>
              <w:t>固定收益类非保本浮动收益开放式净值型</w:t>
            </w:r>
          </w:p>
          <w:p w14:paraId="10741BF9" w14:textId="77777777" w:rsidR="00837EB6" w:rsidRPr="000A1FCA" w:rsidRDefault="00685B3C">
            <w:pPr>
              <w:widowControl/>
              <w:adjustRightInd w:val="0"/>
              <w:snapToGrid w:val="0"/>
              <w:spacing w:line="276" w:lineRule="auto"/>
              <w:jc w:val="left"/>
              <w:rPr>
                <w:rFonts w:ascii="黑体" w:eastAsia="黑体" w:hAnsi="黑体" w:cs="宋体"/>
                <w:b/>
                <w:kern w:val="0"/>
                <w:sz w:val="20"/>
                <w:szCs w:val="20"/>
              </w:rPr>
            </w:pPr>
            <w:r w:rsidRPr="000A1FCA">
              <w:rPr>
                <w:rFonts w:ascii="黑体" w:eastAsia="黑体" w:hAnsi="黑体" w:cs="宋体" w:hint="eastAsia"/>
                <w:kern w:val="0"/>
                <w:sz w:val="20"/>
                <w:szCs w:val="20"/>
              </w:rPr>
              <w:t>固定收益类产品是指根据监管相关规定，投资于存款、债券等债权类资产的比例不低于80%的产品，南浔农商银行对本产品的本金并不提供保证，也不承诺任何固定收益。</w:t>
            </w:r>
          </w:p>
        </w:tc>
      </w:tr>
      <w:tr w:rsidR="00837EB6" w:rsidRPr="000A1FCA" w14:paraId="5030FFB5" w14:textId="77777777">
        <w:tc>
          <w:tcPr>
            <w:tcW w:w="1665" w:type="dxa"/>
            <w:tcBorders>
              <w:top w:val="single" w:sz="4" w:space="0" w:color="000000"/>
              <w:left w:val="single" w:sz="4" w:space="0" w:color="000000"/>
              <w:bottom w:val="single" w:sz="4" w:space="0" w:color="000000"/>
              <w:right w:val="single" w:sz="4" w:space="0" w:color="000000"/>
            </w:tcBorders>
          </w:tcPr>
          <w:p w14:paraId="344CE550"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理财币种</w:t>
            </w:r>
          </w:p>
        </w:tc>
        <w:tc>
          <w:tcPr>
            <w:tcW w:w="6744" w:type="dxa"/>
            <w:tcBorders>
              <w:top w:val="single" w:sz="4" w:space="0" w:color="000000"/>
              <w:left w:val="single" w:sz="4" w:space="0" w:color="000000"/>
              <w:bottom w:val="single" w:sz="4" w:space="0" w:color="000000"/>
              <w:right w:val="single" w:sz="4" w:space="0" w:color="000000"/>
            </w:tcBorders>
          </w:tcPr>
          <w:p w14:paraId="0505F267"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人民币</w:t>
            </w:r>
          </w:p>
        </w:tc>
      </w:tr>
      <w:tr w:rsidR="00837EB6" w:rsidRPr="000A1FCA" w14:paraId="517D4063" w14:textId="77777777">
        <w:tc>
          <w:tcPr>
            <w:tcW w:w="1665" w:type="dxa"/>
            <w:tcBorders>
              <w:top w:val="single" w:sz="4" w:space="0" w:color="000000"/>
              <w:left w:val="single" w:sz="4" w:space="0" w:color="000000"/>
              <w:bottom w:val="single" w:sz="4" w:space="0" w:color="000000"/>
              <w:right w:val="single" w:sz="4" w:space="0" w:color="000000"/>
            </w:tcBorders>
          </w:tcPr>
          <w:p w14:paraId="02CE95A1"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发行方式</w:t>
            </w:r>
          </w:p>
        </w:tc>
        <w:tc>
          <w:tcPr>
            <w:tcW w:w="6744" w:type="dxa"/>
            <w:tcBorders>
              <w:top w:val="single" w:sz="4" w:space="0" w:color="000000"/>
              <w:left w:val="single" w:sz="4" w:space="0" w:color="000000"/>
              <w:bottom w:val="single" w:sz="4" w:space="0" w:color="000000"/>
              <w:right w:val="single" w:sz="4" w:space="0" w:color="000000"/>
            </w:tcBorders>
          </w:tcPr>
          <w:p w14:paraId="4A4EF0EB"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公募</w:t>
            </w:r>
          </w:p>
        </w:tc>
      </w:tr>
      <w:tr w:rsidR="00837EB6" w:rsidRPr="000A1FCA" w14:paraId="2A3D3BDC" w14:textId="77777777">
        <w:trPr>
          <w:trHeight w:val="313"/>
        </w:trPr>
        <w:tc>
          <w:tcPr>
            <w:tcW w:w="1665" w:type="dxa"/>
            <w:tcBorders>
              <w:top w:val="single" w:sz="4" w:space="0" w:color="000000"/>
              <w:left w:val="single" w:sz="4" w:space="0" w:color="000000"/>
              <w:bottom w:val="single" w:sz="4" w:space="0" w:color="000000"/>
              <w:right w:val="single" w:sz="4" w:space="0" w:color="000000"/>
            </w:tcBorders>
          </w:tcPr>
          <w:p w14:paraId="4D1BFEB7"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内部风险评级</w:t>
            </w:r>
          </w:p>
        </w:tc>
        <w:tc>
          <w:tcPr>
            <w:tcW w:w="6744" w:type="dxa"/>
            <w:tcBorders>
              <w:top w:val="single" w:sz="4" w:space="0" w:color="000000"/>
              <w:left w:val="single" w:sz="4" w:space="0" w:color="000000"/>
              <w:bottom w:val="single" w:sz="4" w:space="0" w:color="000000"/>
              <w:right w:val="single" w:sz="4" w:space="0" w:color="000000"/>
            </w:tcBorders>
          </w:tcPr>
          <w:p w14:paraId="460789C6"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根据南浔农商银行理财产品风险评级，本产品属于【□PR1、</w:t>
            </w:r>
            <w:r w:rsidRPr="000A1FCA">
              <w:rPr>
                <w:rFonts w:ascii="MS Mincho" w:eastAsia="MS Mincho" w:hAnsi="MS Mincho" w:cs="MS Mincho" w:hint="eastAsia"/>
                <w:bCs/>
                <w:kern w:val="0"/>
                <w:sz w:val="20"/>
                <w:szCs w:val="20"/>
              </w:rPr>
              <w:t>☑</w:t>
            </w:r>
            <w:r w:rsidRPr="000A1FCA">
              <w:rPr>
                <w:rFonts w:ascii="黑体" w:eastAsia="黑体" w:hAnsi="黑体" w:cs="宋体" w:hint="eastAsia"/>
                <w:bCs/>
                <w:kern w:val="0"/>
                <w:sz w:val="20"/>
                <w:szCs w:val="20"/>
              </w:rPr>
              <w:t>PR2、□PR3、□PR4、□PR5】理财产品。</w:t>
            </w:r>
          </w:p>
        </w:tc>
      </w:tr>
      <w:tr w:rsidR="00837EB6" w:rsidRPr="000A1FCA" w14:paraId="57D64119" w14:textId="77777777">
        <w:trPr>
          <w:trHeight w:val="313"/>
        </w:trPr>
        <w:tc>
          <w:tcPr>
            <w:tcW w:w="1665" w:type="dxa"/>
            <w:tcBorders>
              <w:top w:val="single" w:sz="4" w:space="0" w:color="000000"/>
              <w:left w:val="single" w:sz="4" w:space="0" w:color="000000"/>
              <w:bottom w:val="single" w:sz="4" w:space="0" w:color="000000"/>
              <w:right w:val="single" w:sz="4" w:space="0" w:color="000000"/>
            </w:tcBorders>
            <w:vAlign w:val="center"/>
          </w:tcPr>
          <w:p w14:paraId="0A2E32FA"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适合投资者类型</w:t>
            </w:r>
          </w:p>
        </w:tc>
        <w:tc>
          <w:tcPr>
            <w:tcW w:w="6744" w:type="dxa"/>
            <w:tcBorders>
              <w:top w:val="single" w:sz="4" w:space="0" w:color="000000"/>
              <w:left w:val="single" w:sz="4" w:space="0" w:color="000000"/>
              <w:bottom w:val="single" w:sz="4" w:space="0" w:color="000000"/>
              <w:right w:val="single" w:sz="4" w:space="0" w:color="000000"/>
            </w:tcBorders>
            <w:vAlign w:val="bottom"/>
          </w:tcPr>
          <w:p w14:paraId="2966624F"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经南浔农商银行风险评估，本产品适合风险等级为谨慎型及以上的个人及机构投资者</w:t>
            </w:r>
          </w:p>
        </w:tc>
      </w:tr>
      <w:tr w:rsidR="00837EB6" w:rsidRPr="000A1FCA" w14:paraId="3FC706BF" w14:textId="77777777">
        <w:trPr>
          <w:trHeight w:val="313"/>
        </w:trPr>
        <w:tc>
          <w:tcPr>
            <w:tcW w:w="1665" w:type="dxa"/>
            <w:tcBorders>
              <w:top w:val="single" w:sz="4" w:space="0" w:color="000000"/>
              <w:left w:val="single" w:sz="4" w:space="0" w:color="000000"/>
              <w:bottom w:val="single" w:sz="4" w:space="0" w:color="000000"/>
              <w:right w:val="single" w:sz="4" w:space="0" w:color="000000"/>
            </w:tcBorders>
            <w:vAlign w:val="center"/>
          </w:tcPr>
          <w:p w14:paraId="518C3219"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产品发行规模</w:t>
            </w:r>
          </w:p>
        </w:tc>
        <w:tc>
          <w:tcPr>
            <w:tcW w:w="6744" w:type="dxa"/>
            <w:tcBorders>
              <w:top w:val="single" w:sz="4" w:space="0" w:color="000000"/>
              <w:left w:val="single" w:sz="4" w:space="0" w:color="000000"/>
              <w:bottom w:val="single" w:sz="4" w:space="0" w:color="000000"/>
              <w:right w:val="single" w:sz="4" w:space="0" w:color="000000"/>
            </w:tcBorders>
          </w:tcPr>
          <w:p w14:paraId="0A6AD701"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计划初始募集规模不低于30万元。南浔农商银行有权根据实际需要制定本产</w:t>
            </w:r>
            <w:r w:rsidRPr="000A1FCA">
              <w:rPr>
                <w:rFonts w:ascii="黑体" w:eastAsia="黑体" w:hAnsi="黑体" w:cs="宋体" w:hint="eastAsia"/>
                <w:bCs/>
                <w:kern w:val="0"/>
                <w:sz w:val="20"/>
                <w:szCs w:val="20"/>
              </w:rPr>
              <w:lastRenderedPageBreak/>
              <w:t>品最低募集金额，可以对产品规模进行调整，产品最终规模以银行实际募集/管理的金额为准。若产品未达成立规模，南浔农商银行有权宣布本理财产品不成立。</w:t>
            </w:r>
          </w:p>
        </w:tc>
      </w:tr>
      <w:tr w:rsidR="00837EB6" w:rsidRPr="000A1FCA" w14:paraId="79CBDC42" w14:textId="77777777">
        <w:trPr>
          <w:trHeight w:val="313"/>
        </w:trPr>
        <w:tc>
          <w:tcPr>
            <w:tcW w:w="1665" w:type="dxa"/>
            <w:tcBorders>
              <w:top w:val="single" w:sz="4" w:space="0" w:color="000000"/>
              <w:left w:val="single" w:sz="4" w:space="0" w:color="000000"/>
              <w:bottom w:val="single" w:sz="4" w:space="0" w:color="000000"/>
              <w:right w:val="single" w:sz="4" w:space="0" w:color="000000"/>
            </w:tcBorders>
          </w:tcPr>
          <w:p w14:paraId="515AAEDE"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kern w:val="0"/>
                <w:sz w:val="20"/>
                <w:szCs w:val="20"/>
              </w:rPr>
              <w:lastRenderedPageBreak/>
              <w:t>产品期限</w:t>
            </w:r>
          </w:p>
        </w:tc>
        <w:tc>
          <w:tcPr>
            <w:tcW w:w="6744" w:type="dxa"/>
            <w:tcBorders>
              <w:top w:val="single" w:sz="4" w:space="0" w:color="000000"/>
              <w:left w:val="single" w:sz="4" w:space="0" w:color="000000"/>
              <w:bottom w:val="single" w:sz="4" w:space="0" w:color="000000"/>
              <w:right w:val="single" w:sz="4" w:space="0" w:color="000000"/>
            </w:tcBorders>
          </w:tcPr>
          <w:p w14:paraId="1EF3608E" w14:textId="77777777" w:rsidR="00837EB6" w:rsidRPr="000A1FCA" w:rsidRDefault="00685B3C" w:rsidP="00667ADE">
            <w:pPr>
              <w:widowControl/>
              <w:jc w:val="left"/>
              <w:rPr>
                <w:rFonts w:ascii="黑体" w:eastAsia="黑体" w:hAnsi="黑体" w:cs="宋体"/>
                <w:kern w:val="0"/>
                <w:sz w:val="20"/>
                <w:szCs w:val="20"/>
              </w:rPr>
            </w:pPr>
            <w:r w:rsidRPr="000A1FCA">
              <w:rPr>
                <w:rFonts w:ascii="黑体" w:eastAsia="黑体" w:hAnsi="黑体" w:cs="宋体" w:hint="eastAsia"/>
                <w:kern w:val="0"/>
                <w:sz w:val="20"/>
                <w:szCs w:val="20"/>
              </w:rPr>
              <w:t>至2029年</w:t>
            </w:r>
            <w:r w:rsidR="00733823">
              <w:rPr>
                <w:rFonts w:ascii="黑体" w:eastAsia="黑体" w:hAnsi="黑体" w:cs="宋体" w:hint="eastAsia"/>
                <w:kern w:val="0"/>
                <w:sz w:val="20"/>
                <w:szCs w:val="20"/>
              </w:rPr>
              <w:t>12</w:t>
            </w:r>
            <w:r w:rsidRPr="000A1FCA">
              <w:rPr>
                <w:rFonts w:ascii="黑体" w:eastAsia="黑体" w:hAnsi="黑体" w:cs="宋体" w:hint="eastAsia"/>
                <w:kern w:val="0"/>
                <w:sz w:val="20"/>
                <w:szCs w:val="20"/>
              </w:rPr>
              <w:t>月</w:t>
            </w:r>
            <w:r w:rsidR="00667ADE">
              <w:rPr>
                <w:rFonts w:ascii="黑体" w:eastAsia="黑体" w:hAnsi="黑体" w:cs="宋体" w:hint="eastAsia"/>
                <w:kern w:val="0"/>
                <w:sz w:val="20"/>
                <w:szCs w:val="20"/>
              </w:rPr>
              <w:t>11</w:t>
            </w:r>
            <w:r w:rsidRPr="000A1FCA">
              <w:rPr>
                <w:rFonts w:ascii="黑体" w:eastAsia="黑体" w:hAnsi="黑体" w:cs="宋体" w:hint="eastAsia"/>
                <w:kern w:val="0"/>
                <w:sz w:val="20"/>
                <w:szCs w:val="20"/>
              </w:rPr>
              <w:t>日，银行有权提前终止。</w:t>
            </w:r>
          </w:p>
        </w:tc>
      </w:tr>
      <w:tr w:rsidR="00837EB6" w:rsidRPr="000A1FCA" w14:paraId="7D47C5E5" w14:textId="77777777">
        <w:trPr>
          <w:trHeight w:val="313"/>
        </w:trPr>
        <w:tc>
          <w:tcPr>
            <w:tcW w:w="1665" w:type="dxa"/>
            <w:tcBorders>
              <w:top w:val="single" w:sz="4" w:space="0" w:color="000000"/>
              <w:left w:val="single" w:sz="4" w:space="0" w:color="000000"/>
              <w:bottom w:val="single" w:sz="4" w:space="0" w:color="000000"/>
              <w:right w:val="single" w:sz="4" w:space="0" w:color="000000"/>
            </w:tcBorders>
          </w:tcPr>
          <w:p w14:paraId="1CCDC46B"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kern w:val="0"/>
                <w:sz w:val="20"/>
                <w:szCs w:val="20"/>
              </w:rPr>
              <w:t>产品销售渠道</w:t>
            </w:r>
          </w:p>
        </w:tc>
        <w:tc>
          <w:tcPr>
            <w:tcW w:w="6744" w:type="dxa"/>
            <w:tcBorders>
              <w:top w:val="single" w:sz="4" w:space="0" w:color="000000"/>
              <w:left w:val="single" w:sz="4" w:space="0" w:color="000000"/>
              <w:bottom w:val="single" w:sz="4" w:space="0" w:color="000000"/>
              <w:right w:val="single" w:sz="4" w:space="0" w:color="000000"/>
            </w:tcBorders>
          </w:tcPr>
          <w:p w14:paraId="1CF4FAD7"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柜面、丰收互联、自助终端等；如投资者首次购买我行理财产品，需在我行营业网点进行风险承受能力评估后方可购买。</w:t>
            </w:r>
          </w:p>
        </w:tc>
      </w:tr>
      <w:tr w:rsidR="00837EB6" w:rsidRPr="000A1FCA" w14:paraId="0850D432" w14:textId="77777777">
        <w:trPr>
          <w:trHeight w:val="313"/>
        </w:trPr>
        <w:tc>
          <w:tcPr>
            <w:tcW w:w="1665" w:type="dxa"/>
            <w:tcBorders>
              <w:top w:val="single" w:sz="4" w:space="0" w:color="000000"/>
              <w:left w:val="single" w:sz="4" w:space="0" w:color="000000"/>
              <w:bottom w:val="single" w:sz="4" w:space="0" w:color="000000"/>
              <w:right w:val="single" w:sz="4" w:space="0" w:color="000000"/>
            </w:tcBorders>
            <w:vAlign w:val="center"/>
          </w:tcPr>
          <w:p w14:paraId="457FE072"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产品首发募集期</w:t>
            </w:r>
          </w:p>
          <w:p w14:paraId="55D251CD"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（认购期）</w:t>
            </w:r>
          </w:p>
        </w:tc>
        <w:tc>
          <w:tcPr>
            <w:tcW w:w="6744" w:type="dxa"/>
            <w:tcBorders>
              <w:top w:val="single" w:sz="4" w:space="0" w:color="000000"/>
              <w:left w:val="single" w:sz="4" w:space="0" w:color="000000"/>
              <w:bottom w:val="single" w:sz="4" w:space="0" w:color="000000"/>
              <w:right w:val="single" w:sz="4" w:space="0" w:color="000000"/>
            </w:tcBorders>
            <w:vAlign w:val="center"/>
          </w:tcPr>
          <w:p w14:paraId="0098FDE4" w14:textId="77777777" w:rsidR="00837EB6" w:rsidRPr="000A1FCA" w:rsidRDefault="00685B3C" w:rsidP="006E7648">
            <w:pPr>
              <w:adjustRightInd w:val="0"/>
              <w:snapToGrid w:val="0"/>
              <w:spacing w:line="276" w:lineRule="auto"/>
              <w:rPr>
                <w:rFonts w:ascii="黑体" w:eastAsia="黑体" w:hAnsi="黑体"/>
                <w:sz w:val="20"/>
                <w:szCs w:val="20"/>
              </w:rPr>
            </w:pPr>
            <w:r w:rsidRPr="000A1FCA">
              <w:rPr>
                <w:rFonts w:ascii="黑体" w:eastAsia="黑体" w:hAnsi="黑体" w:cs="宋体" w:hint="eastAsia"/>
                <w:bCs/>
                <w:kern w:val="0"/>
                <w:sz w:val="20"/>
                <w:szCs w:val="20"/>
              </w:rPr>
              <w:t>2021年8月6日-2021年8月1</w:t>
            </w:r>
            <w:r w:rsidR="006E7648" w:rsidRPr="000A1FCA">
              <w:rPr>
                <w:rFonts w:ascii="黑体" w:eastAsia="黑体" w:hAnsi="黑体" w:cs="宋体" w:hint="eastAsia"/>
                <w:bCs/>
                <w:kern w:val="0"/>
                <w:sz w:val="20"/>
                <w:szCs w:val="20"/>
              </w:rPr>
              <w:t>0</w:t>
            </w:r>
            <w:r w:rsidRPr="000A1FCA">
              <w:rPr>
                <w:rFonts w:ascii="黑体" w:eastAsia="黑体" w:hAnsi="黑体" w:cs="宋体" w:hint="eastAsia"/>
                <w:bCs/>
                <w:kern w:val="0"/>
                <w:sz w:val="20"/>
                <w:szCs w:val="20"/>
              </w:rPr>
              <w:t>日。</w:t>
            </w:r>
          </w:p>
        </w:tc>
      </w:tr>
      <w:tr w:rsidR="00837EB6" w:rsidRPr="000A1FCA" w14:paraId="41BF2F26" w14:textId="77777777">
        <w:trPr>
          <w:trHeight w:val="313"/>
        </w:trPr>
        <w:tc>
          <w:tcPr>
            <w:tcW w:w="1665" w:type="dxa"/>
            <w:tcBorders>
              <w:top w:val="single" w:sz="4" w:space="0" w:color="000000"/>
              <w:left w:val="single" w:sz="4" w:space="0" w:color="000000"/>
              <w:bottom w:val="single" w:sz="4" w:space="0" w:color="000000"/>
              <w:right w:val="single" w:sz="4" w:space="0" w:color="000000"/>
            </w:tcBorders>
            <w:vAlign w:val="center"/>
          </w:tcPr>
          <w:p w14:paraId="1FE936C4"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产品成立日</w:t>
            </w:r>
          </w:p>
        </w:tc>
        <w:tc>
          <w:tcPr>
            <w:tcW w:w="6744" w:type="dxa"/>
            <w:tcBorders>
              <w:top w:val="single" w:sz="4" w:space="0" w:color="000000"/>
              <w:left w:val="single" w:sz="4" w:space="0" w:color="000000"/>
              <w:bottom w:val="single" w:sz="4" w:space="0" w:color="000000"/>
              <w:right w:val="single" w:sz="4" w:space="0" w:color="000000"/>
            </w:tcBorders>
            <w:vAlign w:val="center"/>
          </w:tcPr>
          <w:p w14:paraId="50E6CFD0" w14:textId="77777777" w:rsidR="00837EB6" w:rsidRPr="000A1FCA" w:rsidRDefault="00685B3C">
            <w:pPr>
              <w:adjustRightInd w:val="0"/>
              <w:snapToGrid w:val="0"/>
              <w:spacing w:line="276" w:lineRule="auto"/>
              <w:rPr>
                <w:rFonts w:ascii="黑体" w:eastAsia="黑体" w:hAnsi="黑体"/>
                <w:sz w:val="20"/>
                <w:szCs w:val="20"/>
              </w:rPr>
            </w:pPr>
            <w:r w:rsidRPr="000A1FCA">
              <w:rPr>
                <w:rFonts w:ascii="黑体" w:eastAsia="黑体" w:hAnsi="黑体" w:hint="eastAsia"/>
                <w:sz w:val="20"/>
                <w:szCs w:val="20"/>
              </w:rPr>
              <w:t>2021年8月</w:t>
            </w:r>
            <w:r w:rsidR="006E7648" w:rsidRPr="000A1FCA">
              <w:rPr>
                <w:rFonts w:ascii="黑体" w:eastAsia="黑体" w:hAnsi="黑体" w:hint="eastAsia"/>
                <w:sz w:val="20"/>
                <w:szCs w:val="20"/>
              </w:rPr>
              <w:t>11</w:t>
            </w:r>
            <w:r w:rsidRPr="000A1FCA">
              <w:rPr>
                <w:rFonts w:ascii="黑体" w:eastAsia="黑体" w:hAnsi="黑体" w:hint="eastAsia"/>
                <w:sz w:val="20"/>
                <w:szCs w:val="20"/>
              </w:rPr>
              <w:t>日。</w:t>
            </w:r>
          </w:p>
        </w:tc>
      </w:tr>
      <w:tr w:rsidR="00837EB6" w:rsidRPr="000A1FCA" w14:paraId="456AE7A0" w14:textId="77777777">
        <w:trPr>
          <w:trHeight w:val="313"/>
        </w:trPr>
        <w:tc>
          <w:tcPr>
            <w:tcW w:w="1665" w:type="dxa"/>
            <w:tcBorders>
              <w:top w:val="single" w:sz="4" w:space="0" w:color="000000"/>
              <w:left w:val="single" w:sz="4" w:space="0" w:color="000000"/>
              <w:bottom w:val="single" w:sz="4" w:space="0" w:color="000000"/>
              <w:right w:val="single" w:sz="4" w:space="0" w:color="000000"/>
            </w:tcBorders>
            <w:vAlign w:val="center"/>
          </w:tcPr>
          <w:p w14:paraId="5E809906" w14:textId="77777777" w:rsidR="00837EB6" w:rsidRPr="000A1FCA" w:rsidRDefault="00685B3C">
            <w:pPr>
              <w:widowControl/>
              <w:adjustRightInd w:val="0"/>
              <w:snapToGrid w:val="0"/>
              <w:spacing w:line="276" w:lineRule="auto"/>
              <w:jc w:val="left"/>
              <w:rPr>
                <w:rFonts w:ascii="黑体" w:eastAsia="黑体" w:hAnsi="黑体" w:cs="宋体"/>
                <w:kern w:val="0"/>
                <w:sz w:val="20"/>
                <w:szCs w:val="20"/>
              </w:rPr>
            </w:pPr>
            <w:r w:rsidRPr="000A1FCA">
              <w:rPr>
                <w:rFonts w:ascii="黑体" w:eastAsia="黑体" w:hAnsi="黑体" w:cs="宋体" w:hint="eastAsia"/>
                <w:kern w:val="0"/>
                <w:sz w:val="20"/>
                <w:szCs w:val="20"/>
              </w:rPr>
              <w:t>产品封闭期</w:t>
            </w:r>
          </w:p>
        </w:tc>
        <w:tc>
          <w:tcPr>
            <w:tcW w:w="6744" w:type="dxa"/>
            <w:tcBorders>
              <w:top w:val="single" w:sz="4" w:space="0" w:color="000000"/>
              <w:left w:val="single" w:sz="4" w:space="0" w:color="000000"/>
              <w:bottom w:val="single" w:sz="4" w:space="0" w:color="000000"/>
              <w:right w:val="single" w:sz="4" w:space="0" w:color="000000"/>
            </w:tcBorders>
            <w:vAlign w:val="center"/>
          </w:tcPr>
          <w:p w14:paraId="067B5B51" w14:textId="77777777" w:rsidR="00837EB6" w:rsidRPr="000A1FCA" w:rsidRDefault="00685B3C">
            <w:pPr>
              <w:adjustRightInd w:val="0"/>
              <w:snapToGrid w:val="0"/>
              <w:spacing w:line="276" w:lineRule="auto"/>
              <w:rPr>
                <w:rFonts w:ascii="黑体" w:eastAsia="黑体" w:hAnsi="黑体"/>
                <w:sz w:val="20"/>
                <w:szCs w:val="20"/>
              </w:rPr>
            </w:pPr>
            <w:r w:rsidRPr="000A1FCA">
              <w:rPr>
                <w:rFonts w:ascii="黑体" w:eastAsia="黑体" w:hAnsi="黑体" w:hint="eastAsia"/>
                <w:sz w:val="20"/>
                <w:szCs w:val="20"/>
              </w:rPr>
              <w:t>本产品除开放期外原则上都是封闭期。封闭期内原则上不办理申购、赎回业务（</w:t>
            </w:r>
            <w:r w:rsidRPr="000A1FCA">
              <w:rPr>
                <w:rFonts w:ascii="黑体" w:eastAsia="黑体" w:hAnsi="黑体" w:cs="宋体" w:hint="eastAsia"/>
                <w:bCs/>
                <w:kern w:val="0"/>
                <w:sz w:val="20"/>
                <w:szCs w:val="20"/>
              </w:rPr>
              <w:t>南浔农商银行</w:t>
            </w:r>
            <w:r w:rsidRPr="000A1FCA">
              <w:rPr>
                <w:rFonts w:ascii="黑体" w:eastAsia="黑体" w:hAnsi="黑体" w:hint="eastAsia"/>
                <w:sz w:val="20"/>
                <w:szCs w:val="20"/>
              </w:rPr>
              <w:t>公告临时开放的情况除外）。</w:t>
            </w:r>
          </w:p>
        </w:tc>
      </w:tr>
      <w:tr w:rsidR="00837EB6" w:rsidRPr="000A1FCA" w14:paraId="3FED4AC6" w14:textId="77777777">
        <w:trPr>
          <w:trHeight w:val="288"/>
        </w:trPr>
        <w:tc>
          <w:tcPr>
            <w:tcW w:w="1665" w:type="dxa"/>
            <w:tcBorders>
              <w:top w:val="single" w:sz="4" w:space="0" w:color="000000"/>
              <w:left w:val="single" w:sz="4" w:space="0" w:color="000000"/>
              <w:bottom w:val="single" w:sz="4" w:space="0" w:color="000000"/>
              <w:right w:val="single" w:sz="4" w:space="0" w:color="000000"/>
            </w:tcBorders>
            <w:vAlign w:val="center"/>
          </w:tcPr>
          <w:p w14:paraId="3144BD9E" w14:textId="77777777" w:rsidR="00837EB6" w:rsidRPr="000A1FCA" w:rsidRDefault="00685B3C">
            <w:pPr>
              <w:adjustRightInd w:val="0"/>
              <w:snapToGrid w:val="0"/>
              <w:spacing w:line="276" w:lineRule="auto"/>
              <w:rPr>
                <w:rFonts w:ascii="黑体" w:eastAsia="黑体" w:hAnsi="黑体"/>
                <w:sz w:val="20"/>
                <w:szCs w:val="20"/>
              </w:rPr>
            </w:pPr>
            <w:r w:rsidRPr="000A1FCA">
              <w:rPr>
                <w:rFonts w:ascii="黑体" w:eastAsia="黑体" w:hAnsi="黑体" w:hint="eastAsia"/>
                <w:sz w:val="20"/>
                <w:szCs w:val="20"/>
              </w:rPr>
              <w:t>开放期及交易时间</w:t>
            </w:r>
          </w:p>
        </w:tc>
        <w:tc>
          <w:tcPr>
            <w:tcW w:w="6744" w:type="dxa"/>
            <w:tcBorders>
              <w:top w:val="single" w:sz="4" w:space="0" w:color="000000"/>
              <w:left w:val="single" w:sz="4" w:space="0" w:color="000000"/>
              <w:bottom w:val="single" w:sz="4" w:space="0" w:color="000000"/>
              <w:right w:val="single" w:sz="4" w:space="0" w:color="000000"/>
            </w:tcBorders>
          </w:tcPr>
          <w:p w14:paraId="352B1DBB" w14:textId="77777777" w:rsidR="00837EB6" w:rsidRPr="000A1FCA" w:rsidRDefault="00685B3C">
            <w:pPr>
              <w:adjustRightInd w:val="0"/>
              <w:snapToGrid w:val="0"/>
              <w:spacing w:line="276" w:lineRule="auto"/>
              <w:rPr>
                <w:rFonts w:ascii="黑体" w:eastAsia="黑体" w:hAnsi="黑体"/>
                <w:sz w:val="20"/>
                <w:szCs w:val="20"/>
              </w:rPr>
            </w:pPr>
            <w:r w:rsidRPr="000A1FCA">
              <w:rPr>
                <w:rFonts w:ascii="黑体" w:eastAsia="黑体" w:hAnsi="黑体" w:hint="eastAsia"/>
                <w:sz w:val="20"/>
                <w:szCs w:val="20"/>
              </w:rPr>
              <w:t>本产品成立后，每周一、二、三为开放日（如遇非工作日不开放、不顺延），投资者可以在开放日办理申购和赎回的申请业务。每个开放日15:00前，投资者可以对当日所发起的申赎申请进行撤单；每个开放日15:00后，无法对当日15:00前发起的申赎申请进行撤单；每个开放日15:00后发起的申购申请自动顺延至下一个开放日；撤单申请仅针对归属于同一开放日的申赎申请有效。申赎申请截止时间以每周三下午15:00为准，15:00后不接受申赎申请</w:t>
            </w:r>
            <w:r w:rsidRPr="000A1FCA">
              <w:rPr>
                <w:rFonts w:hint="eastAsia"/>
                <w:sz w:val="18"/>
                <w:szCs w:val="18"/>
              </w:rPr>
              <w:t>。</w:t>
            </w:r>
          </w:p>
          <w:p w14:paraId="522065C6" w14:textId="77777777" w:rsidR="00837EB6" w:rsidRPr="000A1FCA" w:rsidRDefault="00685B3C">
            <w:pPr>
              <w:adjustRightInd w:val="0"/>
              <w:snapToGrid w:val="0"/>
              <w:spacing w:line="276" w:lineRule="auto"/>
              <w:rPr>
                <w:rFonts w:ascii="黑体" w:eastAsia="黑体" w:hAnsi="黑体"/>
                <w:sz w:val="20"/>
                <w:szCs w:val="20"/>
              </w:rPr>
            </w:pPr>
            <w:r w:rsidRPr="000A1FCA">
              <w:rPr>
                <w:rFonts w:ascii="黑体" w:eastAsia="黑体" w:hAnsi="黑体" w:hint="eastAsia"/>
                <w:b/>
                <w:bCs/>
                <w:sz w:val="20"/>
                <w:szCs w:val="20"/>
              </w:rPr>
              <w:t>如果投资者在开放日规定时间内未提出赎回申请，则投资者的理财资金自动进入下一个投资周期进行理财运作。</w:t>
            </w:r>
          </w:p>
        </w:tc>
      </w:tr>
      <w:tr w:rsidR="00837EB6" w:rsidRPr="000A1FCA" w14:paraId="757ADAB9" w14:textId="77777777">
        <w:trPr>
          <w:trHeight w:val="288"/>
        </w:trPr>
        <w:tc>
          <w:tcPr>
            <w:tcW w:w="1665" w:type="dxa"/>
            <w:tcBorders>
              <w:top w:val="single" w:sz="4" w:space="0" w:color="000000"/>
              <w:left w:val="single" w:sz="4" w:space="0" w:color="000000"/>
              <w:bottom w:val="single" w:sz="4" w:space="0" w:color="000000"/>
              <w:right w:val="single" w:sz="4" w:space="0" w:color="000000"/>
            </w:tcBorders>
          </w:tcPr>
          <w:p w14:paraId="0D5A72B6" w14:textId="77777777" w:rsidR="00837EB6" w:rsidRPr="000A1FCA" w:rsidRDefault="00685B3C">
            <w:pPr>
              <w:adjustRightInd w:val="0"/>
              <w:snapToGrid w:val="0"/>
              <w:spacing w:line="276" w:lineRule="auto"/>
              <w:rPr>
                <w:rFonts w:ascii="黑体" w:eastAsia="黑体" w:hAnsi="黑体"/>
                <w:sz w:val="20"/>
                <w:szCs w:val="20"/>
              </w:rPr>
            </w:pPr>
            <w:r w:rsidRPr="000A1FCA">
              <w:rPr>
                <w:rFonts w:ascii="黑体" w:eastAsia="黑体" w:hAnsi="黑体" w:hint="eastAsia"/>
                <w:sz w:val="20"/>
                <w:szCs w:val="20"/>
              </w:rPr>
              <w:t>申购/赎回确认日</w:t>
            </w:r>
          </w:p>
        </w:tc>
        <w:tc>
          <w:tcPr>
            <w:tcW w:w="6744" w:type="dxa"/>
            <w:tcBorders>
              <w:top w:val="single" w:sz="4" w:space="0" w:color="000000"/>
              <w:left w:val="single" w:sz="4" w:space="0" w:color="000000"/>
              <w:bottom w:val="single" w:sz="4" w:space="0" w:color="000000"/>
              <w:right w:val="single" w:sz="4" w:space="0" w:color="000000"/>
            </w:tcBorders>
          </w:tcPr>
          <w:p w14:paraId="61EF6F5B" w14:textId="77777777" w:rsidR="00C156B0" w:rsidRDefault="00C156B0">
            <w:pPr>
              <w:widowControl/>
              <w:jc w:val="left"/>
              <w:rPr>
                <w:rFonts w:ascii="黑体" w:eastAsia="黑体" w:hAnsi="黑体"/>
                <w:sz w:val="20"/>
                <w:szCs w:val="20"/>
              </w:rPr>
            </w:pPr>
            <w:r>
              <w:rPr>
                <w:rFonts w:ascii="黑体" w:eastAsia="黑体" w:hAnsi="黑体" w:hint="eastAsia"/>
                <w:sz w:val="20"/>
                <w:szCs w:val="20"/>
              </w:rPr>
              <w:t>投资者在产品开放期内(每个开放日15:00前)提出申购赎回本产品的交易申请。</w:t>
            </w:r>
          </w:p>
          <w:p w14:paraId="398FDB96" w14:textId="77777777" w:rsidR="00C156B0" w:rsidRDefault="00C156B0">
            <w:pPr>
              <w:widowControl/>
              <w:jc w:val="left"/>
              <w:rPr>
                <w:rFonts w:ascii="黑体" w:eastAsia="黑体" w:hAnsi="黑体"/>
                <w:sz w:val="20"/>
                <w:szCs w:val="20"/>
              </w:rPr>
            </w:pPr>
            <w:r w:rsidRPr="00C156B0">
              <w:rPr>
                <w:rFonts w:ascii="黑体" w:eastAsia="黑体" w:hAnsi="黑体" w:hint="eastAsia"/>
                <w:sz w:val="20"/>
                <w:szCs w:val="20"/>
              </w:rPr>
              <w:t>申购确认：申购确认T日申购，T+1日确认。T日为开放日，T日扣款，T+1日以申购日（T日）的日中份额净值确认</w:t>
            </w:r>
            <w:r>
              <w:rPr>
                <w:rFonts w:ascii="黑体" w:eastAsia="黑体" w:hAnsi="黑体" w:hint="eastAsia"/>
                <w:sz w:val="20"/>
                <w:szCs w:val="20"/>
              </w:rPr>
              <w:t>。</w:t>
            </w:r>
          </w:p>
          <w:p w14:paraId="5EE7E80D" w14:textId="77777777" w:rsidR="00C156B0" w:rsidRDefault="00C156B0">
            <w:pPr>
              <w:widowControl/>
              <w:jc w:val="left"/>
              <w:rPr>
                <w:rFonts w:ascii="黑体" w:eastAsia="黑体" w:hAnsi="黑体"/>
                <w:sz w:val="20"/>
                <w:szCs w:val="20"/>
              </w:rPr>
            </w:pPr>
            <w:r w:rsidRPr="00C156B0">
              <w:rPr>
                <w:rFonts w:ascii="黑体" w:eastAsia="黑体" w:hAnsi="黑体" w:hint="eastAsia"/>
                <w:sz w:val="20"/>
                <w:szCs w:val="20"/>
              </w:rPr>
              <w:t>赎回确认：赎回确认T日赎回，T+1日确认。投资者赎回资金于T+1到账</w:t>
            </w:r>
            <w:r>
              <w:rPr>
                <w:rFonts w:ascii="黑体" w:eastAsia="黑体" w:hAnsi="黑体" w:hint="eastAsia"/>
                <w:sz w:val="20"/>
                <w:szCs w:val="20"/>
              </w:rPr>
              <w:t>。</w:t>
            </w:r>
          </w:p>
          <w:p w14:paraId="01BE1D68" w14:textId="77777777" w:rsidR="00837EB6" w:rsidRPr="000A1FCA" w:rsidRDefault="00685B3C">
            <w:pPr>
              <w:widowControl/>
              <w:jc w:val="left"/>
              <w:rPr>
                <w:rFonts w:ascii="黑体" w:eastAsia="黑体" w:hAnsi="黑体"/>
                <w:b/>
                <w:bCs/>
                <w:sz w:val="20"/>
                <w:szCs w:val="20"/>
              </w:rPr>
            </w:pPr>
            <w:bookmarkStart w:id="0" w:name="_GoBack"/>
            <w:bookmarkEnd w:id="0"/>
            <w:r w:rsidRPr="000A1FCA">
              <w:rPr>
                <w:rFonts w:ascii="黑体" w:eastAsia="黑体" w:hAnsi="黑体" w:cs="宋体" w:hint="eastAsia"/>
                <w:kern w:val="0"/>
                <w:sz w:val="20"/>
                <w:szCs w:val="20"/>
              </w:rPr>
              <w:t>如遇非工作日，则顺延至下一个工作日，顺延期间不计投资收益或亏损。</w:t>
            </w:r>
          </w:p>
        </w:tc>
      </w:tr>
      <w:tr w:rsidR="00837EB6" w:rsidRPr="000A1FCA" w14:paraId="725EC619" w14:textId="77777777">
        <w:trPr>
          <w:trHeight w:val="288"/>
        </w:trPr>
        <w:tc>
          <w:tcPr>
            <w:tcW w:w="1665" w:type="dxa"/>
            <w:tcBorders>
              <w:top w:val="single" w:sz="4" w:space="0" w:color="000000"/>
              <w:left w:val="single" w:sz="4" w:space="0" w:color="000000"/>
              <w:bottom w:val="single" w:sz="4" w:space="0" w:color="000000"/>
              <w:right w:val="single" w:sz="4" w:space="0" w:color="000000"/>
            </w:tcBorders>
          </w:tcPr>
          <w:p w14:paraId="0525D10A" w14:textId="77777777" w:rsidR="00837EB6" w:rsidRPr="000A1FCA" w:rsidRDefault="00685B3C">
            <w:pPr>
              <w:widowControl/>
              <w:jc w:val="left"/>
              <w:rPr>
                <w:rFonts w:ascii="黑体" w:eastAsia="黑体" w:hAnsi="黑体"/>
                <w:sz w:val="20"/>
                <w:szCs w:val="20"/>
              </w:rPr>
            </w:pPr>
            <w:r w:rsidRPr="000A1FCA">
              <w:rPr>
                <w:rFonts w:ascii="黑体" w:eastAsia="黑体" w:hAnsi="黑体" w:cs="宋体" w:hint="eastAsia"/>
                <w:kern w:val="0"/>
                <w:sz w:val="20"/>
                <w:szCs w:val="20"/>
              </w:rPr>
              <w:t>产品投资运作周期</w:t>
            </w:r>
          </w:p>
        </w:tc>
        <w:tc>
          <w:tcPr>
            <w:tcW w:w="6744" w:type="dxa"/>
            <w:tcBorders>
              <w:top w:val="single" w:sz="4" w:space="0" w:color="000000"/>
              <w:left w:val="single" w:sz="4" w:space="0" w:color="000000"/>
              <w:bottom w:val="single" w:sz="4" w:space="0" w:color="000000"/>
              <w:right w:val="single" w:sz="4" w:space="0" w:color="000000"/>
            </w:tcBorders>
          </w:tcPr>
          <w:p w14:paraId="16D13158" w14:textId="77777777" w:rsidR="00837EB6" w:rsidRPr="000A1FCA" w:rsidRDefault="00685B3C">
            <w:pPr>
              <w:widowControl/>
              <w:jc w:val="left"/>
              <w:rPr>
                <w:rFonts w:ascii="黑体" w:eastAsia="黑体" w:hAnsi="黑体"/>
                <w:b/>
                <w:bCs/>
                <w:sz w:val="20"/>
                <w:szCs w:val="20"/>
              </w:rPr>
            </w:pPr>
            <w:r w:rsidRPr="000A1FCA">
              <w:rPr>
                <w:rFonts w:ascii="黑体" w:eastAsia="黑体" w:hAnsi="黑体" w:cs="宋体" w:hint="eastAsia"/>
                <w:bCs/>
                <w:kern w:val="0"/>
                <w:sz w:val="20"/>
                <w:szCs w:val="20"/>
              </w:rPr>
              <w:t>本产品成立后，以每个产品工作日为一个投资运作周期。</w:t>
            </w:r>
            <w:r w:rsidRPr="000A1FCA">
              <w:rPr>
                <w:rFonts w:ascii="黑体" w:eastAsia="黑体" w:hAnsi="黑体" w:cs="宋体" w:hint="eastAsia"/>
                <w:b/>
                <w:bCs/>
                <w:kern w:val="0"/>
                <w:sz w:val="20"/>
                <w:szCs w:val="20"/>
              </w:rPr>
              <w:t>南浔农商银行有权调整投资周期，调整后的投资周期以南浔农商银行通过其各营业网点或南浔农商银行网站发布的公告中所载明的日期为准。</w:t>
            </w:r>
          </w:p>
        </w:tc>
      </w:tr>
      <w:tr w:rsidR="00837EB6" w:rsidRPr="000A1FCA" w14:paraId="0AFF284D" w14:textId="77777777">
        <w:trPr>
          <w:trHeight w:val="313"/>
        </w:trPr>
        <w:tc>
          <w:tcPr>
            <w:tcW w:w="1665" w:type="dxa"/>
            <w:tcBorders>
              <w:top w:val="single" w:sz="4" w:space="0" w:color="000000"/>
              <w:left w:val="single" w:sz="4" w:space="0" w:color="000000"/>
              <w:bottom w:val="single" w:sz="4" w:space="0" w:color="000000"/>
              <w:right w:val="single" w:sz="4" w:space="0" w:color="000000"/>
            </w:tcBorders>
          </w:tcPr>
          <w:p w14:paraId="38E291B6"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首次认购/申购金额</w:t>
            </w:r>
          </w:p>
        </w:tc>
        <w:tc>
          <w:tcPr>
            <w:tcW w:w="6744" w:type="dxa"/>
            <w:tcBorders>
              <w:top w:val="single" w:sz="4" w:space="0" w:color="000000"/>
              <w:left w:val="single" w:sz="4" w:space="0" w:color="000000"/>
              <w:bottom w:val="single" w:sz="4" w:space="0" w:color="000000"/>
              <w:right w:val="single" w:sz="4" w:space="0" w:color="000000"/>
            </w:tcBorders>
          </w:tcPr>
          <w:p w14:paraId="66FCCADB"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kern w:val="0"/>
                <w:sz w:val="20"/>
                <w:szCs w:val="20"/>
              </w:rPr>
              <w:t>个人投资者首次</w:t>
            </w:r>
            <w:r w:rsidRPr="000A1FCA">
              <w:rPr>
                <w:rFonts w:ascii="黑体" w:eastAsia="黑体" w:hAnsi="黑体" w:cs="宋体" w:hint="eastAsia"/>
                <w:bCs/>
                <w:kern w:val="0"/>
                <w:sz w:val="20"/>
                <w:szCs w:val="20"/>
              </w:rPr>
              <w:t>认购/申购起点金额为1万元，高于认购/申购起点金额以人民币1千元的整数倍递增。机构投资者认购/申购起点金额为50万元，高于认购/申购起点金额以人民币1万元的整数倍递增。</w:t>
            </w:r>
          </w:p>
        </w:tc>
      </w:tr>
      <w:tr w:rsidR="00837EB6" w:rsidRPr="000A1FCA" w14:paraId="42B6A763" w14:textId="77777777">
        <w:trPr>
          <w:trHeight w:val="313"/>
        </w:trPr>
        <w:tc>
          <w:tcPr>
            <w:tcW w:w="1665" w:type="dxa"/>
            <w:tcBorders>
              <w:top w:val="single" w:sz="4" w:space="0" w:color="000000"/>
              <w:left w:val="single" w:sz="4" w:space="0" w:color="000000"/>
              <w:bottom w:val="single" w:sz="4" w:space="0" w:color="000000"/>
              <w:right w:val="single" w:sz="4" w:space="0" w:color="000000"/>
            </w:tcBorders>
          </w:tcPr>
          <w:p w14:paraId="79B9C54C" w14:textId="77777777" w:rsidR="00837EB6" w:rsidRPr="000A1FCA" w:rsidRDefault="00685B3C">
            <w:pPr>
              <w:widowControl/>
              <w:jc w:val="left"/>
              <w:rPr>
                <w:rFonts w:ascii="黑体" w:eastAsia="黑体" w:hAnsi="黑体" w:cs="宋体"/>
                <w:bCs/>
                <w:kern w:val="0"/>
                <w:sz w:val="20"/>
                <w:szCs w:val="20"/>
              </w:rPr>
            </w:pPr>
            <w:r w:rsidRPr="000A1FCA">
              <w:rPr>
                <w:rFonts w:ascii="黑体" w:eastAsia="黑体" w:hAnsi="黑体" w:cs="宋体" w:hint="eastAsia"/>
                <w:bCs/>
                <w:kern w:val="0"/>
                <w:sz w:val="20"/>
                <w:szCs w:val="20"/>
              </w:rPr>
              <w:t>追加投资金额</w:t>
            </w:r>
          </w:p>
        </w:tc>
        <w:tc>
          <w:tcPr>
            <w:tcW w:w="6744" w:type="dxa"/>
            <w:tcBorders>
              <w:top w:val="single" w:sz="4" w:space="0" w:color="000000"/>
              <w:left w:val="single" w:sz="4" w:space="0" w:color="000000"/>
              <w:bottom w:val="single" w:sz="4" w:space="0" w:color="000000"/>
              <w:right w:val="single" w:sz="4" w:space="0" w:color="000000"/>
            </w:tcBorders>
          </w:tcPr>
          <w:p w14:paraId="66D2DEB5"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kern w:val="0"/>
                <w:sz w:val="20"/>
                <w:szCs w:val="20"/>
              </w:rPr>
              <w:t>对于已持有本产品的金额超过申购起点金额的个人及机构投资者，在产品申购交易开放日，可按人民币</w:t>
            </w:r>
            <w:r w:rsidR="00744558" w:rsidRPr="000A1FCA">
              <w:rPr>
                <w:rFonts w:ascii="黑体" w:eastAsia="黑体" w:hAnsi="黑体" w:cs="宋体" w:hint="eastAsia"/>
                <w:bCs/>
                <w:kern w:val="0"/>
                <w:sz w:val="20"/>
                <w:szCs w:val="20"/>
              </w:rPr>
              <w:t>1千元</w:t>
            </w:r>
            <w:r w:rsidRPr="000A1FCA">
              <w:rPr>
                <w:rFonts w:ascii="黑体" w:eastAsia="黑体" w:hAnsi="黑体" w:cs="宋体" w:hint="eastAsia"/>
                <w:kern w:val="0"/>
                <w:sz w:val="20"/>
                <w:szCs w:val="20"/>
              </w:rPr>
              <w:t>的整数倍继续追加投资。</w:t>
            </w:r>
          </w:p>
        </w:tc>
      </w:tr>
      <w:tr w:rsidR="00837EB6" w:rsidRPr="000A1FCA" w14:paraId="51B5AEBB" w14:textId="77777777">
        <w:trPr>
          <w:trHeight w:val="313"/>
        </w:trPr>
        <w:tc>
          <w:tcPr>
            <w:tcW w:w="1665" w:type="dxa"/>
            <w:tcBorders>
              <w:top w:val="single" w:sz="4" w:space="0" w:color="000000"/>
              <w:left w:val="single" w:sz="4" w:space="0" w:color="000000"/>
              <w:bottom w:val="single" w:sz="4" w:space="0" w:color="000000"/>
              <w:right w:val="single" w:sz="4" w:space="0" w:color="000000"/>
            </w:tcBorders>
          </w:tcPr>
          <w:p w14:paraId="74404E70"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赎回规定</w:t>
            </w:r>
          </w:p>
        </w:tc>
        <w:tc>
          <w:tcPr>
            <w:tcW w:w="6744" w:type="dxa"/>
            <w:tcBorders>
              <w:top w:val="single" w:sz="4" w:space="0" w:color="000000"/>
              <w:left w:val="single" w:sz="4" w:space="0" w:color="000000"/>
              <w:bottom w:val="single" w:sz="4" w:space="0" w:color="000000"/>
              <w:right w:val="single" w:sz="4" w:space="0" w:color="000000"/>
            </w:tcBorders>
          </w:tcPr>
          <w:p w14:paraId="620E17D8" w14:textId="77777777" w:rsidR="00837EB6" w:rsidRPr="000A1FCA" w:rsidRDefault="00685B3C" w:rsidP="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个人投资者单次赎回份额需为1千的整数倍，且持有本理财产品的实时份额最低为1万份；机构投资者单次赎回份额需为1万的整数倍，且持有本理财产品的实时份额最低为1万份；投资者可选择全部或部分赎回，若部分赎回则需满足上述份额要求，否则系统将自动予以全部赎回。</w:t>
            </w:r>
            <w:r w:rsidRPr="000A1FCA">
              <w:rPr>
                <w:rFonts w:ascii="黑体" w:eastAsia="黑体" w:hAnsi="黑体" w:cs="宋体"/>
                <w:kern w:val="0"/>
                <w:sz w:val="20"/>
                <w:szCs w:val="20"/>
              </w:rPr>
              <w:t xml:space="preserve"> </w:t>
            </w:r>
          </w:p>
        </w:tc>
      </w:tr>
      <w:tr w:rsidR="00837EB6" w:rsidRPr="000A1FCA" w14:paraId="572A443F" w14:textId="77777777">
        <w:trPr>
          <w:trHeight w:val="313"/>
        </w:trPr>
        <w:tc>
          <w:tcPr>
            <w:tcW w:w="1665" w:type="dxa"/>
            <w:tcBorders>
              <w:top w:val="single" w:sz="4" w:space="0" w:color="000000"/>
              <w:left w:val="single" w:sz="4" w:space="0" w:color="000000"/>
              <w:bottom w:val="single" w:sz="4" w:space="0" w:color="000000"/>
              <w:right w:val="single" w:sz="4" w:space="0" w:color="000000"/>
            </w:tcBorders>
          </w:tcPr>
          <w:p w14:paraId="41FD200A"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初始募集单位份额金额</w:t>
            </w:r>
          </w:p>
        </w:tc>
        <w:tc>
          <w:tcPr>
            <w:tcW w:w="6744" w:type="dxa"/>
            <w:tcBorders>
              <w:top w:val="single" w:sz="4" w:space="0" w:color="000000"/>
              <w:left w:val="single" w:sz="4" w:space="0" w:color="000000"/>
              <w:bottom w:val="single" w:sz="4" w:space="0" w:color="000000"/>
              <w:right w:val="single" w:sz="4" w:space="0" w:color="000000"/>
            </w:tcBorders>
          </w:tcPr>
          <w:p w14:paraId="26C2ECE3" w14:textId="77777777" w:rsidR="00837EB6" w:rsidRPr="000A1FCA" w:rsidRDefault="00685B3C">
            <w:pPr>
              <w:widowControl/>
              <w:jc w:val="left"/>
              <w:rPr>
                <w:rFonts w:ascii="黑体" w:eastAsia="黑体" w:hAnsi="黑体" w:cs="宋体"/>
                <w:bCs/>
                <w:kern w:val="0"/>
                <w:sz w:val="20"/>
                <w:szCs w:val="20"/>
              </w:rPr>
            </w:pPr>
            <w:r w:rsidRPr="000A1FCA">
              <w:rPr>
                <w:rFonts w:ascii="黑体" w:eastAsia="黑体" w:hAnsi="黑体" w:cs="宋体" w:hint="eastAsia"/>
                <w:bCs/>
                <w:kern w:val="0"/>
                <w:sz w:val="20"/>
                <w:szCs w:val="20"/>
              </w:rPr>
              <w:t>1.00元/份</w:t>
            </w:r>
          </w:p>
          <w:p w14:paraId="1F067E5C" w14:textId="77777777" w:rsidR="00837EB6" w:rsidRPr="000A1FCA" w:rsidRDefault="00837EB6">
            <w:pPr>
              <w:widowControl/>
              <w:jc w:val="left"/>
              <w:rPr>
                <w:rFonts w:ascii="黑体" w:eastAsia="黑体" w:hAnsi="黑体" w:cs="宋体"/>
                <w:kern w:val="0"/>
                <w:sz w:val="20"/>
                <w:szCs w:val="20"/>
              </w:rPr>
            </w:pPr>
          </w:p>
        </w:tc>
      </w:tr>
      <w:tr w:rsidR="00837EB6" w:rsidRPr="000A1FCA" w14:paraId="3533DDBE" w14:textId="77777777">
        <w:trPr>
          <w:trHeight w:val="313"/>
        </w:trPr>
        <w:tc>
          <w:tcPr>
            <w:tcW w:w="1665" w:type="dxa"/>
            <w:tcBorders>
              <w:top w:val="single" w:sz="4" w:space="0" w:color="000000"/>
              <w:left w:val="single" w:sz="4" w:space="0" w:color="000000"/>
              <w:bottom w:val="single" w:sz="4" w:space="0" w:color="000000"/>
              <w:right w:val="single" w:sz="4" w:space="0" w:color="000000"/>
            </w:tcBorders>
            <w:vAlign w:val="center"/>
          </w:tcPr>
          <w:p w14:paraId="0B8900E7" w14:textId="77777777" w:rsidR="00837EB6" w:rsidRPr="000A1FCA" w:rsidRDefault="00685B3C">
            <w:pPr>
              <w:widowControl/>
              <w:rPr>
                <w:rFonts w:ascii="黑体" w:eastAsia="黑体" w:hAnsi="黑体" w:cs="宋体"/>
                <w:kern w:val="0"/>
                <w:sz w:val="20"/>
                <w:szCs w:val="20"/>
              </w:rPr>
            </w:pPr>
            <w:r w:rsidRPr="000A1FCA">
              <w:rPr>
                <w:rFonts w:ascii="黑体" w:eastAsia="黑体" w:hAnsi="黑体" w:cs="宋体" w:hint="eastAsia"/>
                <w:bCs/>
                <w:kern w:val="0"/>
                <w:sz w:val="20"/>
                <w:szCs w:val="20"/>
              </w:rPr>
              <w:t>产品份额净值</w:t>
            </w:r>
          </w:p>
        </w:tc>
        <w:tc>
          <w:tcPr>
            <w:tcW w:w="6744" w:type="dxa"/>
            <w:tcBorders>
              <w:top w:val="single" w:sz="4" w:space="0" w:color="000000"/>
              <w:left w:val="single" w:sz="4" w:space="0" w:color="000000"/>
              <w:bottom w:val="single" w:sz="4" w:space="0" w:color="000000"/>
              <w:right w:val="single" w:sz="4" w:space="0" w:color="000000"/>
            </w:tcBorders>
          </w:tcPr>
          <w:p w14:paraId="21F4537E" w14:textId="77777777" w:rsidR="00837EB6" w:rsidRPr="000A1FCA" w:rsidRDefault="00685B3C">
            <w:pPr>
              <w:widowControl/>
              <w:jc w:val="left"/>
              <w:rPr>
                <w:rFonts w:ascii="黑体" w:eastAsia="黑体" w:hAnsi="黑体" w:cs="宋体"/>
                <w:kern w:val="0"/>
                <w:sz w:val="20"/>
                <w:szCs w:val="20"/>
              </w:rPr>
            </w:pPr>
            <w:r w:rsidRPr="000A1FCA">
              <w:rPr>
                <w:rFonts w:ascii="黑体" w:eastAsia="黑体" w:hAnsi="黑体" w:cs="宋体" w:hint="eastAsia"/>
                <w:bCs/>
                <w:kern w:val="0"/>
                <w:sz w:val="20"/>
                <w:szCs w:val="20"/>
              </w:rPr>
              <w:t>1．产品份额净值=产品资产净值总额/产品份额总数。产品份额净值为提取投</w:t>
            </w:r>
            <w:r w:rsidRPr="000A1FCA">
              <w:rPr>
                <w:rFonts w:ascii="黑体" w:eastAsia="黑体" w:hAnsi="黑体" w:cs="宋体" w:hint="eastAsia"/>
                <w:bCs/>
                <w:kern w:val="0"/>
                <w:sz w:val="20"/>
                <w:szCs w:val="20"/>
              </w:rPr>
              <w:lastRenderedPageBreak/>
              <w:t>资管理费、销售服务费（如有）、产品托管费等相关费用后的理财产品份额净值，投资者按产品份额净值进行申购、赎回、收益分配和提前终止分配。2．本产品份额净值将随投资资产收益或价格的变化而变化，若产品投资组合资产运作出现损失的，产品净值下降，可能小于投资人初始投资本金。分配理财收益、产品赎回或提前终止时投资者投资所得以实际到账金额为准。3．本产品成立起每个工作日以及于季度、半年度和年度报告等定期报告公布产品份额净值。</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以申购赎回确认日前一工作日为基础进行收益分配和赎回兑付。4．产品份额净值四舍五入保留4位小数，由</w:t>
            </w:r>
            <w:r w:rsidRPr="000A1FCA">
              <w:rPr>
                <w:rFonts w:ascii="黑体" w:eastAsia="黑体" w:hAnsi="黑体" w:cs="宋体" w:hint="eastAsia"/>
                <w:kern w:val="0"/>
                <w:sz w:val="20"/>
                <w:szCs w:val="20"/>
              </w:rPr>
              <w:t>此产生的收益或损失由理财财产承担。</w:t>
            </w:r>
            <w:r w:rsidRPr="000A1FCA">
              <w:rPr>
                <w:rFonts w:ascii="黑体" w:eastAsia="黑体" w:hAnsi="黑体" w:cs="宋体" w:hint="eastAsia"/>
                <w:bCs/>
                <w:kern w:val="0"/>
                <w:sz w:val="20"/>
                <w:szCs w:val="20"/>
              </w:rPr>
              <w:t>5</w:t>
            </w:r>
            <w:r w:rsidRPr="000A1FCA">
              <w:rPr>
                <w:rFonts w:ascii="黑体" w:eastAsia="黑体" w:hAnsi="黑体" w:cs="宋体"/>
                <w:bCs/>
                <w:kern w:val="0"/>
                <w:sz w:val="20"/>
                <w:szCs w:val="20"/>
              </w:rPr>
              <w:t>.</w:t>
            </w:r>
            <w:r w:rsidRPr="000A1FCA">
              <w:rPr>
                <w:rFonts w:ascii="黑体" w:eastAsia="黑体" w:hAnsi="黑体" w:cs="宋体" w:hint="eastAsia"/>
                <w:bCs/>
                <w:kern w:val="0"/>
                <w:sz w:val="20"/>
                <w:szCs w:val="20"/>
              </w:rPr>
              <w:t>当周最后一个工作日产品份额净值体现当周剩余节假日收益浮动，如周五工作日产品份额净值包含周六、周日产品收益浮动。</w:t>
            </w:r>
          </w:p>
        </w:tc>
      </w:tr>
      <w:tr w:rsidR="00837EB6" w:rsidRPr="000A1FCA" w14:paraId="1D4FEF8A" w14:textId="77777777">
        <w:trPr>
          <w:trHeight w:val="57"/>
        </w:trPr>
        <w:tc>
          <w:tcPr>
            <w:tcW w:w="1665" w:type="dxa"/>
            <w:tcBorders>
              <w:top w:val="single" w:sz="4" w:space="0" w:color="000000"/>
              <w:left w:val="single" w:sz="4" w:space="0" w:color="000000"/>
              <w:bottom w:val="single" w:sz="4" w:space="0" w:color="000000"/>
              <w:right w:val="single" w:sz="4" w:space="0" w:color="000000"/>
            </w:tcBorders>
            <w:vAlign w:val="center"/>
          </w:tcPr>
          <w:p w14:paraId="21CE9B1E" w14:textId="77777777" w:rsidR="00837EB6" w:rsidRPr="000A1FCA" w:rsidRDefault="00685B3C">
            <w:pPr>
              <w:keepNext/>
              <w:keepLines/>
              <w:spacing w:before="260" w:after="260" w:line="57" w:lineRule="atLeast"/>
              <w:rPr>
                <w:rFonts w:ascii="黑体" w:eastAsia="黑体" w:hAnsi="黑体" w:cs="宋体"/>
                <w:kern w:val="0"/>
                <w:sz w:val="20"/>
                <w:szCs w:val="20"/>
              </w:rPr>
            </w:pPr>
            <w:r w:rsidRPr="000A1FCA">
              <w:rPr>
                <w:rFonts w:ascii="黑体" w:eastAsia="黑体" w:hAnsi="黑体" w:cs="宋体" w:hint="eastAsia"/>
                <w:kern w:val="0"/>
                <w:sz w:val="20"/>
                <w:szCs w:val="20"/>
              </w:rPr>
              <w:lastRenderedPageBreak/>
              <w:t>业绩比较基准</w:t>
            </w:r>
          </w:p>
        </w:tc>
        <w:tc>
          <w:tcPr>
            <w:tcW w:w="6744" w:type="dxa"/>
            <w:tcBorders>
              <w:top w:val="single" w:sz="4" w:space="0" w:color="000000"/>
              <w:left w:val="single" w:sz="4" w:space="0" w:color="000000"/>
              <w:bottom w:val="single" w:sz="4" w:space="0" w:color="000000"/>
              <w:right w:val="single" w:sz="4" w:space="0" w:color="000000"/>
            </w:tcBorders>
          </w:tcPr>
          <w:p w14:paraId="0E218041" w14:textId="77777777" w:rsidR="00837EB6" w:rsidRPr="000A1FCA" w:rsidRDefault="009F46E0">
            <w:pPr>
              <w:widowControl/>
              <w:spacing w:line="57" w:lineRule="atLeast"/>
              <w:jc w:val="left"/>
              <w:rPr>
                <w:rFonts w:ascii="黑体" w:eastAsia="黑体" w:hAnsi="黑体" w:cs="宋体"/>
                <w:kern w:val="0"/>
                <w:sz w:val="20"/>
                <w:szCs w:val="20"/>
              </w:rPr>
            </w:pPr>
            <w:r>
              <w:rPr>
                <w:rFonts w:ascii="黑体" w:eastAsia="黑体" w:hAnsi="黑体" w:cs="宋体" w:hint="eastAsia"/>
                <w:kern w:val="0"/>
                <w:sz w:val="20"/>
                <w:szCs w:val="20"/>
              </w:rPr>
              <w:t>1.6</w:t>
            </w:r>
            <w:r w:rsidR="00685B3C" w:rsidRPr="000A1FCA">
              <w:rPr>
                <w:rFonts w:ascii="黑体" w:eastAsia="黑体" w:hAnsi="黑体" w:cs="宋体" w:hint="eastAsia"/>
                <w:kern w:val="0"/>
                <w:sz w:val="20"/>
                <w:szCs w:val="20"/>
              </w:rPr>
              <w:t>%</w:t>
            </w:r>
            <w:r w:rsidR="001176D4">
              <w:rPr>
                <w:rFonts w:ascii="黑体" w:eastAsia="黑体" w:hAnsi="黑体" w:cs="宋体" w:hint="eastAsia"/>
                <w:kern w:val="0"/>
                <w:sz w:val="20"/>
                <w:szCs w:val="20"/>
              </w:rPr>
              <w:t>-3.2%</w:t>
            </w:r>
          </w:p>
          <w:p w14:paraId="3641F37D"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kern w:val="0"/>
                <w:sz w:val="20"/>
                <w:szCs w:val="20"/>
              </w:rPr>
              <w:t>1.</w:t>
            </w:r>
            <w:r w:rsidRPr="000A1FCA">
              <w:rPr>
                <w:rFonts w:ascii="黑体" w:eastAsia="黑体" w:hAnsi="黑体" w:cs="宋体" w:hint="eastAsia"/>
                <w:bCs/>
                <w:kern w:val="0"/>
                <w:sz w:val="20"/>
                <w:szCs w:val="20"/>
              </w:rPr>
              <w:t>投资的年化比较基准为人民银行一年期定期存款利率加利差,以人民银行公告为准。</w:t>
            </w:r>
            <w:r w:rsidRPr="000A1FCA">
              <w:rPr>
                <w:rFonts w:ascii="黑体" w:eastAsia="黑体" w:hAnsi="黑体" w:cs="宋体" w:hint="eastAsia"/>
                <w:kern w:val="0"/>
                <w:sz w:val="20"/>
                <w:szCs w:val="20"/>
              </w:rPr>
              <w:t>南浔农商银行可根据市场情况调整业绩比较基准，并至少于新的业绩比较基准启用前2个工作日进行公告。</w:t>
            </w:r>
          </w:p>
          <w:p w14:paraId="1B26CCE4" w14:textId="77777777" w:rsidR="00837EB6" w:rsidRPr="000A1FCA" w:rsidRDefault="00685B3C">
            <w:pPr>
              <w:widowControl/>
              <w:spacing w:line="57" w:lineRule="atLeast"/>
              <w:jc w:val="left"/>
              <w:rPr>
                <w:rFonts w:ascii="黑体" w:eastAsia="黑体" w:hAnsi="黑体" w:cs="宋体"/>
                <w:b/>
                <w:bCs/>
                <w:kern w:val="0"/>
                <w:sz w:val="20"/>
                <w:szCs w:val="20"/>
              </w:rPr>
            </w:pPr>
            <w:r w:rsidRPr="000A1FCA">
              <w:rPr>
                <w:rFonts w:ascii="黑体" w:eastAsia="黑体" w:hAnsi="黑体" w:cs="宋体" w:hint="eastAsia"/>
                <w:bCs/>
                <w:kern w:val="0"/>
                <w:sz w:val="20"/>
                <w:szCs w:val="20"/>
              </w:rPr>
              <w:t>2.</w:t>
            </w:r>
            <w:r w:rsidRPr="000A1FCA">
              <w:rPr>
                <w:rFonts w:ascii="黑体" w:eastAsia="黑体" w:hAnsi="黑体" w:cs="宋体" w:hint="eastAsia"/>
                <w:b/>
                <w:bCs/>
                <w:kern w:val="0"/>
                <w:sz w:val="20"/>
                <w:szCs w:val="20"/>
              </w:rPr>
              <w:t>比较基准仅作为管理人</w:t>
            </w:r>
            <w:r w:rsidRPr="000A1FCA">
              <w:rPr>
                <w:rFonts w:ascii="宋体" w:hAnsi="宋体" w:cs="宋体" w:hint="eastAsia"/>
                <w:b/>
                <w:bCs/>
                <w:kern w:val="0"/>
                <w:sz w:val="18"/>
              </w:rPr>
              <w:t>收取超额业绩报酬和</w:t>
            </w:r>
            <w:r w:rsidRPr="000A1FCA">
              <w:rPr>
                <w:rFonts w:ascii="黑体" w:eastAsia="黑体" w:hAnsi="黑体" w:cs="宋体" w:hint="eastAsia"/>
                <w:b/>
                <w:bCs/>
                <w:kern w:val="0"/>
                <w:sz w:val="20"/>
                <w:szCs w:val="20"/>
              </w:rPr>
              <w:t>动态调整投资管理费的参照，不代表理财产品未来表现，不等于理财产品实际收益，不作为产品收益的业绩保证，投资须谨慎。</w:t>
            </w:r>
          </w:p>
          <w:p w14:paraId="3A8F0F6F"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3．</w:t>
            </w:r>
            <w:r w:rsidRPr="000A1FCA">
              <w:rPr>
                <w:rFonts w:ascii="黑体" w:eastAsia="黑体" w:hAnsi="黑体" w:cs="宋体" w:hint="eastAsia"/>
                <w:kern w:val="0"/>
                <w:sz w:val="20"/>
                <w:szCs w:val="20"/>
              </w:rPr>
              <w:t>如果今后法律法规发生变化，或者有其他代表性更强、更科学客观的业绩比较基准适用于本产品时，经产品管理人和产品托管人协商一致后，本产品可以变更比较基准并及时公告。</w:t>
            </w:r>
          </w:p>
        </w:tc>
      </w:tr>
      <w:tr w:rsidR="00837EB6" w:rsidRPr="000A1FCA" w14:paraId="03B14870" w14:textId="77777777">
        <w:trPr>
          <w:trHeight w:val="545"/>
        </w:trPr>
        <w:tc>
          <w:tcPr>
            <w:tcW w:w="1665" w:type="dxa"/>
            <w:tcBorders>
              <w:top w:val="single" w:sz="4" w:space="0" w:color="000000"/>
              <w:left w:val="single" w:sz="4" w:space="0" w:color="000000"/>
              <w:bottom w:val="single" w:sz="4" w:space="0" w:color="000000"/>
              <w:right w:val="single" w:sz="4" w:space="0" w:color="000000"/>
            </w:tcBorders>
          </w:tcPr>
          <w:p w14:paraId="1EA54F49" w14:textId="77777777" w:rsidR="00837EB6" w:rsidRPr="000A1FCA" w:rsidRDefault="00685B3C">
            <w:pPr>
              <w:keepNext/>
              <w:keepLines/>
              <w:adjustRightInd w:val="0"/>
              <w:snapToGrid w:val="0"/>
              <w:spacing w:before="260" w:after="260"/>
              <w:jc w:val="left"/>
              <w:rPr>
                <w:rFonts w:ascii="黑体" w:eastAsia="黑体" w:hAnsi="黑体" w:cs="宋体"/>
                <w:kern w:val="0"/>
                <w:sz w:val="20"/>
                <w:szCs w:val="20"/>
              </w:rPr>
            </w:pPr>
            <w:r w:rsidRPr="000A1FCA">
              <w:rPr>
                <w:rFonts w:ascii="黑体" w:eastAsia="黑体" w:hAnsi="黑体" w:cs="宋体" w:hint="eastAsia"/>
                <w:kern w:val="0"/>
                <w:sz w:val="20"/>
                <w:szCs w:val="20"/>
              </w:rPr>
              <w:t>巨额赎回比例</w:t>
            </w:r>
          </w:p>
        </w:tc>
        <w:tc>
          <w:tcPr>
            <w:tcW w:w="6744" w:type="dxa"/>
            <w:tcBorders>
              <w:top w:val="single" w:sz="4" w:space="0" w:color="000000"/>
              <w:left w:val="single" w:sz="4" w:space="0" w:color="000000"/>
              <w:bottom w:val="single" w:sz="4" w:space="0" w:color="000000"/>
              <w:right w:val="single" w:sz="4" w:space="0" w:color="000000"/>
            </w:tcBorders>
            <w:vAlign w:val="center"/>
          </w:tcPr>
          <w:p w14:paraId="46DF684E" w14:textId="77777777" w:rsidR="00837EB6" w:rsidRPr="000A1FCA" w:rsidRDefault="00685B3C">
            <w:pPr>
              <w:widowControl/>
              <w:adjustRightInd w:val="0"/>
              <w:snapToGrid w:val="0"/>
              <w:jc w:val="left"/>
              <w:rPr>
                <w:rFonts w:ascii="黑体" w:eastAsia="黑体" w:hAnsi="黑体" w:cs="宋体"/>
                <w:kern w:val="0"/>
                <w:sz w:val="20"/>
                <w:szCs w:val="20"/>
              </w:rPr>
            </w:pPr>
            <w:r w:rsidRPr="000A1FCA">
              <w:rPr>
                <w:rFonts w:ascii="黑体" w:eastAsia="黑体" w:hAnsi="黑体" w:cs="宋体" w:hint="eastAsia"/>
                <w:kern w:val="0"/>
                <w:sz w:val="20"/>
                <w:szCs w:val="20"/>
              </w:rPr>
              <w:t>在单个开放日，本产品净赎回申请份额（赎回申请总数扣除申购申请总数后的余额）不得超过前一日产品总份额的10%。</w:t>
            </w:r>
          </w:p>
        </w:tc>
      </w:tr>
      <w:tr w:rsidR="00837EB6" w:rsidRPr="000A1FCA" w14:paraId="1B2D441F" w14:textId="77777777">
        <w:trPr>
          <w:trHeight w:val="220"/>
        </w:trPr>
        <w:tc>
          <w:tcPr>
            <w:tcW w:w="1665" w:type="dxa"/>
            <w:tcBorders>
              <w:top w:val="single" w:sz="4" w:space="0" w:color="000000"/>
              <w:left w:val="single" w:sz="4" w:space="0" w:color="000000"/>
              <w:bottom w:val="single" w:sz="4" w:space="0" w:color="000000"/>
              <w:right w:val="single" w:sz="4" w:space="0" w:color="000000"/>
            </w:tcBorders>
          </w:tcPr>
          <w:p w14:paraId="4334AAD5"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kern w:val="0"/>
                <w:sz w:val="20"/>
                <w:szCs w:val="20"/>
              </w:rPr>
              <w:t>理财产品</w:t>
            </w:r>
            <w:r w:rsidRPr="000A1FCA">
              <w:rPr>
                <w:rFonts w:ascii="黑体" w:eastAsia="黑体" w:hAnsi="黑体" w:cs="宋体" w:hint="eastAsia"/>
                <w:bCs/>
                <w:kern w:val="0"/>
                <w:sz w:val="20"/>
                <w:szCs w:val="20"/>
              </w:rPr>
              <w:t>发行人</w:t>
            </w:r>
          </w:p>
        </w:tc>
        <w:tc>
          <w:tcPr>
            <w:tcW w:w="6744" w:type="dxa"/>
            <w:tcBorders>
              <w:top w:val="single" w:sz="4" w:space="0" w:color="000000"/>
              <w:left w:val="single" w:sz="4" w:space="0" w:color="000000"/>
              <w:bottom w:val="single" w:sz="4" w:space="0" w:color="000000"/>
              <w:right w:val="single" w:sz="4" w:space="0" w:color="000000"/>
            </w:tcBorders>
          </w:tcPr>
          <w:p w14:paraId="568A856B"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kern w:val="0"/>
                <w:sz w:val="20"/>
                <w:szCs w:val="20"/>
              </w:rPr>
              <w:t>浙江南浔农村商业银行股份有限公司</w:t>
            </w:r>
          </w:p>
        </w:tc>
      </w:tr>
      <w:tr w:rsidR="00837EB6" w:rsidRPr="000A1FCA" w14:paraId="27C00A90" w14:textId="77777777">
        <w:trPr>
          <w:trHeight w:val="57"/>
        </w:trPr>
        <w:tc>
          <w:tcPr>
            <w:tcW w:w="1665" w:type="dxa"/>
            <w:tcBorders>
              <w:top w:val="single" w:sz="4" w:space="0" w:color="000000"/>
              <w:left w:val="single" w:sz="4" w:space="0" w:color="000000"/>
              <w:bottom w:val="single" w:sz="4" w:space="0" w:color="000000"/>
              <w:right w:val="single" w:sz="4" w:space="0" w:color="000000"/>
            </w:tcBorders>
          </w:tcPr>
          <w:p w14:paraId="329B2278"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理财产品管理人</w:t>
            </w:r>
          </w:p>
        </w:tc>
        <w:tc>
          <w:tcPr>
            <w:tcW w:w="6744" w:type="dxa"/>
            <w:tcBorders>
              <w:top w:val="single" w:sz="4" w:space="0" w:color="000000"/>
              <w:left w:val="single" w:sz="4" w:space="0" w:color="000000"/>
              <w:bottom w:val="single" w:sz="4" w:space="0" w:color="000000"/>
              <w:right w:val="single" w:sz="4" w:space="0" w:color="000000"/>
            </w:tcBorders>
          </w:tcPr>
          <w:p w14:paraId="04861AD5"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kern w:val="0"/>
                <w:sz w:val="20"/>
                <w:szCs w:val="20"/>
              </w:rPr>
              <w:t>浙江南浔农村商业银行股份有限公司</w:t>
            </w:r>
          </w:p>
        </w:tc>
      </w:tr>
      <w:tr w:rsidR="00837EB6" w:rsidRPr="000A1FCA" w14:paraId="3D8F56D8" w14:textId="77777777">
        <w:trPr>
          <w:trHeight w:val="57"/>
        </w:trPr>
        <w:tc>
          <w:tcPr>
            <w:tcW w:w="1665" w:type="dxa"/>
            <w:tcBorders>
              <w:top w:val="single" w:sz="4" w:space="0" w:color="000000"/>
              <w:left w:val="single" w:sz="4" w:space="0" w:color="000000"/>
              <w:bottom w:val="single" w:sz="4" w:space="0" w:color="000000"/>
              <w:right w:val="single" w:sz="4" w:space="0" w:color="000000"/>
            </w:tcBorders>
          </w:tcPr>
          <w:p w14:paraId="0D61FE19"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理财产品托管人</w:t>
            </w:r>
          </w:p>
        </w:tc>
        <w:tc>
          <w:tcPr>
            <w:tcW w:w="6744" w:type="dxa"/>
            <w:tcBorders>
              <w:top w:val="single" w:sz="4" w:space="0" w:color="000000"/>
              <w:left w:val="single" w:sz="4" w:space="0" w:color="000000"/>
              <w:bottom w:val="single" w:sz="4" w:space="0" w:color="000000"/>
              <w:right w:val="single" w:sz="4" w:space="0" w:color="000000"/>
            </w:tcBorders>
          </w:tcPr>
          <w:p w14:paraId="035DB903"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招商银行股份有限公司杭州分行</w:t>
            </w:r>
          </w:p>
        </w:tc>
      </w:tr>
      <w:tr w:rsidR="00837EB6" w:rsidRPr="000A1FCA" w14:paraId="7E3E90A8" w14:textId="77777777">
        <w:trPr>
          <w:trHeight w:val="57"/>
        </w:trPr>
        <w:tc>
          <w:tcPr>
            <w:tcW w:w="1665" w:type="dxa"/>
            <w:tcBorders>
              <w:top w:val="single" w:sz="4" w:space="0" w:color="000000"/>
              <w:left w:val="single" w:sz="4" w:space="0" w:color="000000"/>
              <w:bottom w:val="single" w:sz="4" w:space="0" w:color="000000"/>
              <w:right w:val="single" w:sz="4" w:space="0" w:color="000000"/>
            </w:tcBorders>
          </w:tcPr>
          <w:p w14:paraId="3F03837F" w14:textId="77777777" w:rsidR="00837EB6" w:rsidRPr="000A1FCA" w:rsidRDefault="00685B3C">
            <w:pPr>
              <w:widowControl/>
              <w:spacing w:line="57" w:lineRule="atLeast"/>
              <w:jc w:val="left"/>
              <w:rPr>
                <w:rFonts w:ascii="黑体" w:eastAsia="黑体" w:hAnsi="黑体" w:cs="宋体"/>
                <w:bCs/>
                <w:kern w:val="0"/>
                <w:sz w:val="20"/>
                <w:szCs w:val="20"/>
              </w:rPr>
            </w:pPr>
            <w:r w:rsidRPr="000A1FCA">
              <w:rPr>
                <w:rFonts w:ascii="黑体" w:eastAsia="黑体" w:hAnsi="黑体" w:cs="宋体" w:hint="eastAsia"/>
                <w:kern w:val="0"/>
                <w:sz w:val="20"/>
                <w:szCs w:val="20"/>
              </w:rPr>
              <w:t>估值外包服务机构</w:t>
            </w:r>
          </w:p>
        </w:tc>
        <w:tc>
          <w:tcPr>
            <w:tcW w:w="6744" w:type="dxa"/>
            <w:tcBorders>
              <w:top w:val="single" w:sz="4" w:space="0" w:color="000000"/>
              <w:left w:val="single" w:sz="4" w:space="0" w:color="000000"/>
              <w:bottom w:val="single" w:sz="4" w:space="0" w:color="000000"/>
              <w:right w:val="single" w:sz="4" w:space="0" w:color="000000"/>
            </w:tcBorders>
          </w:tcPr>
          <w:p w14:paraId="04D86F9D" w14:textId="77777777" w:rsidR="00837EB6" w:rsidRPr="000A1FCA" w:rsidRDefault="00685B3C">
            <w:pPr>
              <w:widowControl/>
              <w:spacing w:line="57" w:lineRule="atLeast"/>
              <w:jc w:val="left"/>
              <w:rPr>
                <w:rFonts w:ascii="黑体" w:eastAsia="黑体" w:hAnsi="黑体" w:cs="宋体"/>
                <w:bCs/>
                <w:kern w:val="0"/>
                <w:sz w:val="20"/>
                <w:szCs w:val="20"/>
              </w:rPr>
            </w:pPr>
            <w:r w:rsidRPr="000A1FCA">
              <w:rPr>
                <w:rFonts w:ascii="黑体" w:eastAsia="黑体" w:hAnsi="黑体" w:cs="宋体" w:hint="eastAsia"/>
                <w:kern w:val="0"/>
                <w:sz w:val="20"/>
                <w:szCs w:val="20"/>
              </w:rPr>
              <w:t>招商银行股份有限公司</w:t>
            </w:r>
            <w:r w:rsidR="00C156B0" w:rsidRPr="000A1FCA">
              <w:rPr>
                <w:rFonts w:ascii="黑体" w:eastAsia="黑体" w:hAnsi="黑体" w:cs="宋体" w:hint="eastAsia"/>
                <w:bCs/>
                <w:kern w:val="0"/>
                <w:sz w:val="20"/>
                <w:szCs w:val="20"/>
              </w:rPr>
              <w:t>杭州分行</w:t>
            </w:r>
          </w:p>
        </w:tc>
      </w:tr>
      <w:tr w:rsidR="00837EB6" w:rsidRPr="000A1FCA" w14:paraId="7D727FAC" w14:textId="77777777">
        <w:trPr>
          <w:trHeight w:val="57"/>
        </w:trPr>
        <w:tc>
          <w:tcPr>
            <w:tcW w:w="1665" w:type="dxa"/>
            <w:tcBorders>
              <w:top w:val="single" w:sz="4" w:space="0" w:color="000000"/>
              <w:left w:val="single" w:sz="4" w:space="0" w:color="000000"/>
              <w:bottom w:val="single" w:sz="4" w:space="0" w:color="000000"/>
              <w:right w:val="single" w:sz="4" w:space="0" w:color="000000"/>
            </w:tcBorders>
            <w:vAlign w:val="center"/>
          </w:tcPr>
          <w:p w14:paraId="414066D5" w14:textId="77777777" w:rsidR="00837EB6" w:rsidRPr="000A1FCA" w:rsidRDefault="00685B3C">
            <w:pPr>
              <w:widowControl/>
              <w:spacing w:line="57" w:lineRule="atLeast"/>
              <w:rPr>
                <w:rFonts w:ascii="黑体" w:eastAsia="黑体" w:hAnsi="黑体" w:cs="宋体"/>
                <w:kern w:val="0"/>
                <w:sz w:val="20"/>
                <w:szCs w:val="20"/>
              </w:rPr>
            </w:pPr>
            <w:r w:rsidRPr="000A1FCA">
              <w:rPr>
                <w:rFonts w:ascii="黑体" w:eastAsia="黑体" w:hAnsi="黑体" w:cs="宋体" w:hint="eastAsia"/>
                <w:bCs/>
                <w:kern w:val="0"/>
                <w:sz w:val="20"/>
                <w:szCs w:val="20"/>
              </w:rPr>
              <w:t>理财产品费用及业绩报酬</w:t>
            </w:r>
          </w:p>
        </w:tc>
        <w:tc>
          <w:tcPr>
            <w:tcW w:w="6744" w:type="dxa"/>
            <w:tcBorders>
              <w:top w:val="single" w:sz="4" w:space="0" w:color="000000"/>
              <w:left w:val="single" w:sz="4" w:space="0" w:color="000000"/>
              <w:bottom w:val="single" w:sz="4" w:space="0" w:color="000000"/>
              <w:right w:val="single" w:sz="4" w:space="0" w:color="000000"/>
            </w:tcBorders>
          </w:tcPr>
          <w:p w14:paraId="5EB5BF23" w14:textId="77777777" w:rsidR="00837EB6" w:rsidRPr="000A1FCA" w:rsidRDefault="00685B3C">
            <w:pPr>
              <w:adjustRightInd w:val="0"/>
              <w:snapToGrid w:val="0"/>
              <w:spacing w:line="57" w:lineRule="atLeast"/>
              <w:rPr>
                <w:rFonts w:ascii="黑体" w:eastAsia="黑体" w:hAnsi="黑体"/>
                <w:bCs/>
                <w:sz w:val="20"/>
                <w:szCs w:val="20"/>
              </w:rPr>
            </w:pPr>
            <w:r w:rsidRPr="000A1FCA">
              <w:rPr>
                <w:rFonts w:ascii="黑体" w:eastAsia="黑体" w:hAnsi="黑体" w:hint="eastAsia"/>
                <w:bCs/>
                <w:sz w:val="20"/>
                <w:szCs w:val="20"/>
              </w:rPr>
              <w:t>1．理财产品费用包含销售服务费、投资管理费、</w:t>
            </w:r>
            <w:r w:rsidRPr="00C156B0">
              <w:rPr>
                <w:rFonts w:ascii="黑体" w:eastAsia="黑体" w:hAnsi="黑体" w:hint="eastAsia"/>
                <w:bCs/>
                <w:sz w:val="20"/>
                <w:szCs w:val="20"/>
              </w:rPr>
              <w:t>产品</w:t>
            </w:r>
            <w:r w:rsidRPr="000A1FCA">
              <w:rPr>
                <w:rFonts w:ascii="黑体" w:eastAsia="黑体" w:hAnsi="黑体" w:hint="eastAsia"/>
                <w:bCs/>
                <w:sz w:val="20"/>
                <w:szCs w:val="20"/>
              </w:rPr>
              <w:t>托管费</w:t>
            </w:r>
            <w:r w:rsidRPr="00C156B0">
              <w:rPr>
                <w:rFonts w:ascii="黑体" w:eastAsia="黑体" w:hAnsi="黑体" w:hint="eastAsia"/>
                <w:bCs/>
                <w:sz w:val="20"/>
                <w:szCs w:val="20"/>
              </w:rPr>
              <w:t>以及超额业绩报酬等相关费用</w:t>
            </w:r>
            <w:r w:rsidRPr="000A1FCA">
              <w:rPr>
                <w:rFonts w:ascii="黑体" w:eastAsia="黑体" w:hAnsi="黑体" w:hint="eastAsia"/>
                <w:bCs/>
                <w:sz w:val="20"/>
                <w:szCs w:val="20"/>
              </w:rPr>
              <w:t>。</w:t>
            </w:r>
            <w:r w:rsidRPr="000A1FCA">
              <w:rPr>
                <w:rFonts w:ascii="黑体" w:eastAsia="黑体" w:hAnsi="黑体"/>
                <w:bCs/>
                <w:sz w:val="20"/>
                <w:szCs w:val="20"/>
              </w:rPr>
              <w:t>2</w:t>
            </w:r>
            <w:r w:rsidRPr="000A1FCA">
              <w:rPr>
                <w:rFonts w:ascii="黑体" w:eastAsia="黑体" w:hAnsi="黑体" w:hint="eastAsia"/>
                <w:bCs/>
                <w:sz w:val="20"/>
                <w:szCs w:val="20"/>
              </w:rPr>
              <w:t>．本产品销售服务费年化费率为</w:t>
            </w:r>
            <w:r w:rsidRPr="00C156B0">
              <w:rPr>
                <w:rFonts w:ascii="黑体" w:eastAsia="黑体" w:hAnsi="黑体" w:hint="eastAsia"/>
                <w:bCs/>
                <w:sz w:val="20"/>
                <w:szCs w:val="20"/>
              </w:rPr>
              <w:t>0</w:t>
            </w:r>
            <w:r w:rsidRPr="000A1FCA">
              <w:rPr>
                <w:rFonts w:ascii="黑体" w:eastAsia="黑体" w:hAnsi="黑体" w:hint="eastAsia"/>
                <w:bCs/>
                <w:sz w:val="20"/>
                <w:szCs w:val="20"/>
              </w:rPr>
              <w:t>，产品托管费年化费率为0.015%，产品估值外包服务费年化费率为0，投资管理费年化费率0，上述费用每日计提，定期收取。若投资资产组合净值扣除销售服务费、产品托管费、产品估值外包服务费和投资管理费等相关费用后，赎回日产品份额净值折算的年化收益率达不到比较基准，则南浔农商银行可减免当期部分或全部投资管理费，由此造成赎回日产品份额净值调整的，以调整后的产品份额净值为准进行收益分配和赎回兑付；若投资资产组合净值扣除销售服务费、产品托管费、产品估值外包服务费和投资管理费等相关费用后，赎回日产品份额净值折算的年化收益率超过比较基准，则南浔农商银行收取超出部分的100</w:t>
            </w:r>
            <w:r w:rsidRPr="000A1FCA">
              <w:rPr>
                <w:rFonts w:ascii="黑体" w:eastAsia="黑体" w:hAnsi="黑体"/>
                <w:bCs/>
                <w:sz w:val="20"/>
                <w:szCs w:val="20"/>
              </w:rPr>
              <w:t>%</w:t>
            </w:r>
            <w:r w:rsidRPr="000A1FCA">
              <w:rPr>
                <w:rFonts w:ascii="黑体" w:eastAsia="黑体" w:hAnsi="黑体" w:hint="eastAsia"/>
                <w:bCs/>
                <w:sz w:val="20"/>
                <w:szCs w:val="20"/>
              </w:rPr>
              <w:t>作为超额业绩报酬，由此造成赎回日产品份额净值调整的，以调整后的产品份额净值为准进行收益分配和赎回兑付。3．本产品不收取申购费和赎回费。4．</w:t>
            </w:r>
            <w:r w:rsidRPr="000A1FCA">
              <w:rPr>
                <w:rFonts w:ascii="黑体" w:eastAsia="黑体" w:hAnsi="黑体" w:hint="eastAsia"/>
                <w:b/>
                <w:bCs/>
                <w:sz w:val="20"/>
                <w:szCs w:val="20"/>
              </w:rPr>
              <w:t>南浔农商银行保留变更上述理财产品收取费率标准的权利</w:t>
            </w:r>
            <w:r w:rsidRPr="000A1FCA">
              <w:rPr>
                <w:rFonts w:ascii="黑体" w:eastAsia="黑体" w:hAnsi="黑体" w:hint="eastAsia"/>
                <w:bCs/>
                <w:sz w:val="20"/>
                <w:szCs w:val="20"/>
              </w:rPr>
              <w:t>，如有变更，将提前一个工作日在南浔农商银行网站或营业网点公告。客户有权不接受变更，</w:t>
            </w:r>
            <w:r w:rsidRPr="000A1FCA">
              <w:rPr>
                <w:rFonts w:ascii="宋体" w:hint="eastAsia"/>
                <w:bCs/>
                <w:sz w:val="18"/>
                <w:szCs w:val="18"/>
              </w:rPr>
              <w:t>可以</w:t>
            </w:r>
            <w:r w:rsidRPr="000A1FCA">
              <w:rPr>
                <w:rFonts w:ascii="黑体" w:eastAsia="黑体" w:hAnsi="黑体" w:hint="eastAsia"/>
                <w:bCs/>
                <w:sz w:val="20"/>
                <w:szCs w:val="20"/>
              </w:rPr>
              <w:t>以赎回的方式退出，如客户选择继续持有本产品，则视同其认可</w:t>
            </w:r>
            <w:r w:rsidRPr="000A1FCA">
              <w:rPr>
                <w:rFonts w:ascii="黑体" w:eastAsia="黑体" w:hAnsi="黑体"/>
                <w:bCs/>
                <w:sz w:val="20"/>
                <w:szCs w:val="20"/>
              </w:rPr>
              <w:t>南浔农商银行</w:t>
            </w:r>
            <w:r w:rsidRPr="000A1FCA">
              <w:rPr>
                <w:rFonts w:ascii="黑体" w:eastAsia="黑体" w:hAnsi="黑体" w:hint="eastAsia"/>
                <w:bCs/>
                <w:sz w:val="20"/>
                <w:szCs w:val="20"/>
              </w:rPr>
              <w:t>所做的变更。详见“七、理财费用与税收”条款。</w:t>
            </w:r>
          </w:p>
        </w:tc>
      </w:tr>
      <w:tr w:rsidR="00837EB6" w:rsidRPr="000A1FCA" w14:paraId="6D62B065" w14:textId="77777777">
        <w:trPr>
          <w:trHeight w:val="57"/>
        </w:trPr>
        <w:tc>
          <w:tcPr>
            <w:tcW w:w="1665" w:type="dxa"/>
            <w:tcBorders>
              <w:top w:val="single" w:sz="4" w:space="0" w:color="000000"/>
              <w:left w:val="single" w:sz="4" w:space="0" w:color="000000"/>
              <w:bottom w:val="single" w:sz="4" w:space="0" w:color="000000"/>
              <w:right w:val="single" w:sz="4" w:space="0" w:color="000000"/>
            </w:tcBorders>
            <w:vAlign w:val="center"/>
          </w:tcPr>
          <w:p w14:paraId="2C98E125"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kern w:val="0"/>
                <w:sz w:val="20"/>
                <w:szCs w:val="20"/>
              </w:rPr>
              <w:t>理财收益分配</w:t>
            </w:r>
          </w:p>
        </w:tc>
        <w:tc>
          <w:tcPr>
            <w:tcW w:w="6744" w:type="dxa"/>
            <w:tcBorders>
              <w:top w:val="single" w:sz="4" w:space="0" w:color="000000"/>
              <w:left w:val="single" w:sz="4" w:space="0" w:color="000000"/>
              <w:bottom w:val="single" w:sz="4" w:space="0" w:color="000000"/>
              <w:right w:val="single" w:sz="4" w:space="0" w:color="000000"/>
            </w:tcBorders>
            <w:vAlign w:val="center"/>
          </w:tcPr>
          <w:p w14:paraId="0002256F" w14:textId="77777777" w:rsidR="00837EB6" w:rsidRPr="000A1FCA" w:rsidRDefault="00685B3C">
            <w:pPr>
              <w:widowControl/>
              <w:adjustRightInd w:val="0"/>
              <w:snapToGrid w:val="0"/>
              <w:spacing w:line="57" w:lineRule="atLeast"/>
              <w:jc w:val="left"/>
              <w:rPr>
                <w:rFonts w:ascii="黑体" w:eastAsia="黑体" w:hAnsi="黑体" w:cs="宋体"/>
                <w:kern w:val="0"/>
                <w:sz w:val="20"/>
                <w:szCs w:val="20"/>
              </w:rPr>
            </w:pPr>
            <w:r w:rsidRPr="000A1FCA">
              <w:rPr>
                <w:rFonts w:ascii="黑体" w:eastAsia="黑体" w:hAnsi="黑体" w:cs="宋体" w:hint="eastAsia"/>
                <w:kern w:val="0"/>
                <w:sz w:val="20"/>
                <w:szCs w:val="20"/>
              </w:rPr>
              <w:t>本产品在投资期间不进行收益分配。投资者投资收益取决于本产品份额净值，</w:t>
            </w:r>
            <w:r w:rsidRPr="000A1FCA">
              <w:rPr>
                <w:rFonts w:ascii="黑体" w:eastAsia="黑体" w:hAnsi="黑体" w:cs="宋体" w:hint="eastAsia"/>
                <w:kern w:val="0"/>
                <w:sz w:val="20"/>
                <w:szCs w:val="20"/>
              </w:rPr>
              <w:lastRenderedPageBreak/>
              <w:t>份额净值随投资收益变化而变化。投资者只有在赎回时，对应赎回部分的本金及收益（如有）才会同时划转至投资者指定账户。</w:t>
            </w:r>
          </w:p>
        </w:tc>
      </w:tr>
      <w:tr w:rsidR="00837EB6" w:rsidRPr="000A1FCA" w14:paraId="43546120" w14:textId="77777777">
        <w:trPr>
          <w:trHeight w:val="57"/>
        </w:trPr>
        <w:tc>
          <w:tcPr>
            <w:tcW w:w="1665" w:type="dxa"/>
            <w:tcBorders>
              <w:top w:val="single" w:sz="4" w:space="0" w:color="000000"/>
              <w:left w:val="single" w:sz="4" w:space="0" w:color="000000"/>
              <w:bottom w:val="single" w:sz="4" w:space="0" w:color="000000"/>
              <w:right w:val="single" w:sz="4" w:space="0" w:color="000000"/>
            </w:tcBorders>
            <w:vAlign w:val="center"/>
          </w:tcPr>
          <w:p w14:paraId="7E15FED0"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kern w:val="0"/>
                <w:sz w:val="20"/>
                <w:szCs w:val="20"/>
              </w:rPr>
              <w:lastRenderedPageBreak/>
              <w:t>理财资金返还</w:t>
            </w:r>
          </w:p>
        </w:tc>
        <w:tc>
          <w:tcPr>
            <w:tcW w:w="6744" w:type="dxa"/>
            <w:tcBorders>
              <w:top w:val="single" w:sz="4" w:space="0" w:color="000000"/>
              <w:left w:val="single" w:sz="4" w:space="0" w:color="000000"/>
              <w:bottom w:val="single" w:sz="4" w:space="0" w:color="000000"/>
              <w:right w:val="single" w:sz="4" w:space="0" w:color="000000"/>
            </w:tcBorders>
          </w:tcPr>
          <w:p w14:paraId="2CDD5D63" w14:textId="77777777" w:rsidR="00837EB6" w:rsidRPr="000A1FCA" w:rsidRDefault="00685B3C">
            <w:pPr>
              <w:widowControl/>
              <w:spacing w:line="57"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1.当投资者提出赎回申请且经南浔农商银行确认赎回成功后，南浔农商银行应于赎回确认日后1个工作日内将投资者资金划转至投资者指定账户。2.如发生需要延后兑付的特殊情况，南浔农商银行将通过各营业网点或南浔农商银行网站以公告的形式将延后支付的情况进行公告。3.如投资者不赎回或部分赎回本产品，投资者前一周期的存续部分将自动进入下一个投资周期。4.如果南浔农商银行提前终止本产品，南浔农商银行将提前两个工作日通过南浔农商银行各营业网点或南浔农商银行网站公布提前终止日并指定资金支付日（一般为提前终止日之后的三个工作日以内）。南浔农商银行将按产品份额净值计算投资者理财资金，并于指定的资金支付日（遇非工作日顺延）内划转至投资者指定账户。</w:t>
            </w:r>
          </w:p>
        </w:tc>
      </w:tr>
      <w:tr w:rsidR="00837EB6" w:rsidRPr="000A1FCA" w14:paraId="4CCB878D" w14:textId="77777777">
        <w:trPr>
          <w:trHeight w:val="104"/>
        </w:trPr>
        <w:tc>
          <w:tcPr>
            <w:tcW w:w="1665" w:type="dxa"/>
            <w:tcBorders>
              <w:top w:val="single" w:sz="4" w:space="0" w:color="000000"/>
              <w:left w:val="single" w:sz="4" w:space="0" w:color="000000"/>
              <w:bottom w:val="single" w:sz="4" w:space="0" w:color="000000"/>
              <w:right w:val="single" w:sz="4" w:space="0" w:color="000000"/>
            </w:tcBorders>
            <w:vAlign w:val="center"/>
          </w:tcPr>
          <w:p w14:paraId="171EF161" w14:textId="77777777" w:rsidR="00837EB6" w:rsidRPr="000A1FCA" w:rsidRDefault="00685B3C">
            <w:pPr>
              <w:widowControl/>
              <w:spacing w:line="104"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提前终止权</w:t>
            </w:r>
          </w:p>
        </w:tc>
        <w:tc>
          <w:tcPr>
            <w:tcW w:w="6744" w:type="dxa"/>
            <w:tcBorders>
              <w:top w:val="single" w:sz="4" w:space="0" w:color="000000"/>
              <w:left w:val="single" w:sz="4" w:space="0" w:color="000000"/>
              <w:bottom w:val="single" w:sz="4" w:space="0" w:color="000000"/>
              <w:right w:val="single" w:sz="4" w:space="0" w:color="000000"/>
            </w:tcBorders>
          </w:tcPr>
          <w:p w14:paraId="191EC72B" w14:textId="77777777" w:rsidR="00837EB6" w:rsidRPr="000A1FCA" w:rsidRDefault="00685B3C">
            <w:pPr>
              <w:widowControl/>
              <w:spacing w:line="104" w:lineRule="atLeast"/>
              <w:jc w:val="left"/>
              <w:rPr>
                <w:rFonts w:ascii="黑体" w:eastAsia="黑体" w:hAnsi="黑体" w:cs="宋体"/>
                <w:kern w:val="0"/>
                <w:sz w:val="20"/>
                <w:szCs w:val="20"/>
              </w:rPr>
            </w:pPr>
            <w:r w:rsidRPr="000A1FCA">
              <w:rPr>
                <w:rFonts w:ascii="黑体" w:eastAsia="黑体" w:hAnsi="黑体" w:cs="宋体" w:hint="eastAsia"/>
                <w:b/>
                <w:bCs/>
                <w:kern w:val="0"/>
                <w:sz w:val="20"/>
                <w:szCs w:val="20"/>
              </w:rPr>
              <w:t>投资者无权提前终止该产品</w:t>
            </w:r>
            <w:r w:rsidRPr="000A1FCA">
              <w:rPr>
                <w:rFonts w:ascii="黑体" w:eastAsia="黑体" w:hAnsi="黑体" w:cs="宋体" w:hint="eastAsia"/>
                <w:bCs/>
                <w:kern w:val="0"/>
                <w:sz w:val="20"/>
                <w:szCs w:val="20"/>
              </w:rPr>
              <w:t>；当出现本产品说明书中的“提前终止”情形，南浔农商银行有权提前终止本产品。</w:t>
            </w:r>
          </w:p>
        </w:tc>
      </w:tr>
      <w:tr w:rsidR="00837EB6" w:rsidRPr="000A1FCA" w14:paraId="5EA3038E" w14:textId="77777777">
        <w:trPr>
          <w:trHeight w:val="104"/>
        </w:trPr>
        <w:tc>
          <w:tcPr>
            <w:tcW w:w="1665" w:type="dxa"/>
            <w:tcBorders>
              <w:top w:val="single" w:sz="4" w:space="0" w:color="000000"/>
              <w:left w:val="single" w:sz="4" w:space="0" w:color="000000"/>
              <w:bottom w:val="single" w:sz="4" w:space="0" w:color="000000"/>
              <w:right w:val="single" w:sz="4" w:space="0" w:color="000000"/>
            </w:tcBorders>
          </w:tcPr>
          <w:p w14:paraId="371BF847" w14:textId="77777777" w:rsidR="00837EB6" w:rsidRPr="000A1FCA" w:rsidRDefault="00685B3C">
            <w:pPr>
              <w:widowControl/>
              <w:spacing w:line="104"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工作日</w:t>
            </w:r>
          </w:p>
        </w:tc>
        <w:tc>
          <w:tcPr>
            <w:tcW w:w="6744" w:type="dxa"/>
            <w:tcBorders>
              <w:top w:val="single" w:sz="4" w:space="0" w:color="000000"/>
              <w:left w:val="single" w:sz="4" w:space="0" w:color="000000"/>
              <w:bottom w:val="single" w:sz="4" w:space="0" w:color="000000"/>
              <w:right w:val="single" w:sz="4" w:space="0" w:color="000000"/>
            </w:tcBorders>
          </w:tcPr>
          <w:p w14:paraId="47107D48" w14:textId="77777777" w:rsidR="00837EB6" w:rsidRPr="000A1FCA" w:rsidRDefault="00685B3C">
            <w:pPr>
              <w:widowControl/>
              <w:spacing w:line="104" w:lineRule="atLeast"/>
              <w:jc w:val="left"/>
              <w:rPr>
                <w:rFonts w:ascii="黑体" w:eastAsia="黑体" w:hAnsi="黑体" w:cs="宋体"/>
                <w:kern w:val="0"/>
                <w:sz w:val="20"/>
                <w:szCs w:val="20"/>
              </w:rPr>
            </w:pPr>
            <w:r w:rsidRPr="000A1FCA">
              <w:rPr>
                <w:rFonts w:ascii="黑体" w:eastAsia="黑体" w:hAnsi="黑体" w:cs="宋体" w:hint="eastAsia"/>
                <w:bCs/>
                <w:kern w:val="0"/>
                <w:sz w:val="20"/>
                <w:szCs w:val="20"/>
              </w:rPr>
              <w:t>除国家法定节假日外的正常工作日</w:t>
            </w:r>
          </w:p>
        </w:tc>
      </w:tr>
      <w:tr w:rsidR="00837EB6" w:rsidRPr="000A1FCA" w14:paraId="41E2838A" w14:textId="77777777">
        <w:trPr>
          <w:trHeight w:val="104"/>
        </w:trPr>
        <w:tc>
          <w:tcPr>
            <w:tcW w:w="1665" w:type="dxa"/>
            <w:tcBorders>
              <w:top w:val="single" w:sz="4" w:space="0" w:color="000000"/>
              <w:left w:val="single" w:sz="4" w:space="0" w:color="000000"/>
              <w:bottom w:val="single" w:sz="4" w:space="0" w:color="000000"/>
              <w:right w:val="single" w:sz="4" w:space="0" w:color="000000"/>
            </w:tcBorders>
            <w:vAlign w:val="center"/>
          </w:tcPr>
          <w:p w14:paraId="2ECC349B" w14:textId="77777777" w:rsidR="00837EB6" w:rsidRPr="000A1FCA" w:rsidRDefault="00685B3C">
            <w:pPr>
              <w:widowControl/>
              <w:spacing w:line="104" w:lineRule="atLeast"/>
              <w:jc w:val="left"/>
              <w:rPr>
                <w:rFonts w:ascii="黑体" w:eastAsia="黑体" w:hAnsi="黑体" w:cs="宋体"/>
                <w:bCs/>
                <w:kern w:val="0"/>
                <w:sz w:val="20"/>
                <w:szCs w:val="20"/>
              </w:rPr>
            </w:pPr>
            <w:r w:rsidRPr="000A1FCA">
              <w:rPr>
                <w:rFonts w:ascii="黑体" w:eastAsia="黑体" w:hAnsi="黑体" w:cs="宋体" w:hint="eastAsia"/>
                <w:bCs/>
                <w:kern w:val="0"/>
                <w:sz w:val="20"/>
                <w:szCs w:val="20"/>
              </w:rPr>
              <w:t>其他规定</w:t>
            </w:r>
          </w:p>
        </w:tc>
        <w:tc>
          <w:tcPr>
            <w:tcW w:w="6744" w:type="dxa"/>
            <w:tcBorders>
              <w:top w:val="single" w:sz="4" w:space="0" w:color="000000"/>
              <w:left w:val="single" w:sz="4" w:space="0" w:color="000000"/>
              <w:bottom w:val="single" w:sz="4" w:space="0" w:color="000000"/>
              <w:right w:val="single" w:sz="4" w:space="0" w:color="000000"/>
            </w:tcBorders>
          </w:tcPr>
          <w:p w14:paraId="6B0AE5DD" w14:textId="77777777" w:rsidR="00837EB6" w:rsidRPr="000A1FCA" w:rsidRDefault="00685B3C">
            <w:pPr>
              <w:widowControl/>
              <w:spacing w:line="104" w:lineRule="atLeast"/>
              <w:jc w:val="left"/>
              <w:rPr>
                <w:rFonts w:ascii="黑体" w:eastAsia="黑体" w:hAnsi="黑体" w:cs="宋体"/>
                <w:bCs/>
                <w:kern w:val="0"/>
                <w:sz w:val="20"/>
                <w:szCs w:val="20"/>
              </w:rPr>
            </w:pPr>
            <w:r w:rsidRPr="000A1FCA">
              <w:rPr>
                <w:rFonts w:ascii="黑体" w:eastAsia="黑体" w:hAnsi="黑体" w:cs="宋体" w:hint="eastAsia"/>
                <w:bCs/>
                <w:kern w:val="0"/>
                <w:sz w:val="20"/>
                <w:szCs w:val="20"/>
              </w:rPr>
              <w:t>1.本产品暂不支持质押、转让；</w:t>
            </w:r>
          </w:p>
          <w:p w14:paraId="1C213B09" w14:textId="77777777" w:rsidR="00837EB6" w:rsidRPr="000A1FCA" w:rsidRDefault="00685B3C">
            <w:pPr>
              <w:widowControl/>
              <w:spacing w:line="104" w:lineRule="atLeast"/>
              <w:jc w:val="left"/>
              <w:rPr>
                <w:rFonts w:ascii="黑体" w:eastAsia="黑体" w:hAnsi="黑体" w:cs="宋体"/>
                <w:bCs/>
                <w:kern w:val="0"/>
                <w:sz w:val="20"/>
                <w:szCs w:val="20"/>
              </w:rPr>
            </w:pPr>
            <w:r w:rsidRPr="000A1FCA">
              <w:rPr>
                <w:rFonts w:ascii="黑体" w:eastAsia="黑体" w:hAnsi="黑体" w:cs="宋体" w:hint="eastAsia"/>
                <w:bCs/>
                <w:kern w:val="0"/>
                <w:sz w:val="20"/>
                <w:szCs w:val="20"/>
              </w:rPr>
              <w:t>2.本产品采用时间优先方式接受认购，额满停止接受认购。</w:t>
            </w:r>
          </w:p>
        </w:tc>
      </w:tr>
    </w:tbl>
    <w:p w14:paraId="29DD129C" w14:textId="77777777" w:rsidR="00837EB6" w:rsidRPr="000A1FCA" w:rsidRDefault="00685B3C">
      <w:pPr>
        <w:widowControl/>
        <w:jc w:val="left"/>
        <w:rPr>
          <w:rFonts w:ascii="宋体" w:hAnsi="宋体" w:cs="宋体"/>
          <w:kern w:val="0"/>
          <w:sz w:val="24"/>
        </w:rPr>
      </w:pPr>
      <w:r w:rsidRPr="000A1FCA">
        <w:rPr>
          <w:rFonts w:ascii="宋体" w:hAnsi="宋体" w:cs="宋体" w:hint="eastAsia"/>
          <w:kern w:val="0"/>
          <w:sz w:val="24"/>
        </w:rPr>
        <w:t> </w:t>
      </w:r>
    </w:p>
    <w:p w14:paraId="211FBD78" w14:textId="77777777" w:rsidR="00837EB6" w:rsidRPr="000A1FCA" w:rsidRDefault="00685B3C">
      <w:pPr>
        <w:widowControl/>
        <w:jc w:val="center"/>
        <w:rPr>
          <w:rFonts w:ascii="黑体" w:eastAsia="黑体" w:hAnsi="黑体" w:cs="宋体"/>
          <w:kern w:val="0"/>
          <w:sz w:val="22"/>
          <w:szCs w:val="20"/>
        </w:rPr>
      </w:pPr>
      <w:r w:rsidRPr="000A1FCA">
        <w:rPr>
          <w:rFonts w:ascii="黑体" w:eastAsia="黑体" w:hAnsi="黑体" w:cs="宋体" w:hint="eastAsia"/>
          <w:b/>
          <w:kern w:val="0"/>
          <w:sz w:val="22"/>
          <w:szCs w:val="20"/>
        </w:rPr>
        <w:t>二、理财份额的认申购与赎回</w:t>
      </w:r>
    </w:p>
    <w:p w14:paraId="59B4736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（一）认申购和赎回</w:t>
      </w:r>
    </w:p>
    <w:p w14:paraId="7ABCAD0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认申购/赎回期是指本产品开放允许投资者认申购/赎回的日期，提交认申购/赎回并不代表申购/赎回成功，南浔农商银行将在申购/赎回确认日确认投资者是否申购/赎回成功。</w:t>
      </w:r>
    </w:p>
    <w:p w14:paraId="3345F71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1、申购</w:t>
      </w:r>
    </w:p>
    <w:p w14:paraId="1E255E1D" w14:textId="77777777" w:rsidR="00837EB6" w:rsidRPr="000A1FCA" w:rsidRDefault="00685B3C">
      <w:pPr>
        <w:widowControl/>
        <w:ind w:rightChars="-51" w:right="-107"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本产品的固定申购日为每周一、二、三</w:t>
      </w:r>
      <w:r w:rsidRPr="000A1FCA">
        <w:rPr>
          <w:rFonts w:ascii="黑体" w:eastAsia="黑体" w:hAnsi="黑体" w:hint="eastAsia"/>
          <w:sz w:val="20"/>
          <w:szCs w:val="20"/>
        </w:rPr>
        <w:t>（如遇非工作日不开放、不顺延），若除此之外临时开放</w:t>
      </w:r>
      <w:r w:rsidRPr="000A1FCA">
        <w:rPr>
          <w:rFonts w:ascii="黑体" w:eastAsia="黑体" w:hAnsi="黑体" w:cs="宋体" w:hint="eastAsia"/>
          <w:bCs/>
          <w:kern w:val="0"/>
          <w:sz w:val="20"/>
          <w:szCs w:val="20"/>
        </w:rPr>
        <w:t>以产品公告所载明的日期为准。南浔农商银行将通过其网站公告本产品的相关信息。</w:t>
      </w:r>
    </w:p>
    <w:p w14:paraId="1A9844D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 xml:space="preserve">投资者一旦签署《产品协议书》，即时生效，投资者持本人有效身份证件及在本行开立的存折或银行卡，并在存折或银行卡账户内存有足额认购金额，按《产品协议书》内容确认认申购。 </w:t>
      </w:r>
    </w:p>
    <w:p w14:paraId="5E94EE4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bCs/>
          <w:kern w:val="0"/>
          <w:sz w:val="20"/>
          <w:szCs w:val="20"/>
        </w:rPr>
        <w:t>2</w:t>
      </w:r>
      <w:r w:rsidRPr="000A1FCA">
        <w:rPr>
          <w:rFonts w:ascii="黑体" w:eastAsia="黑体" w:hAnsi="黑体" w:cs="宋体" w:hint="eastAsia"/>
          <w:bCs/>
          <w:kern w:val="0"/>
          <w:sz w:val="20"/>
          <w:szCs w:val="20"/>
        </w:rPr>
        <w:t>、申购确认日</w:t>
      </w:r>
    </w:p>
    <w:p w14:paraId="1286DACA" w14:textId="77777777" w:rsidR="00837EB6" w:rsidRPr="000A1FCA" w:rsidRDefault="004A4E33" w:rsidP="004A4E33">
      <w:pPr>
        <w:widowControl/>
        <w:snapToGrid w:val="0"/>
        <w:ind w:firstLineChars="200" w:firstLine="400"/>
        <w:jc w:val="left"/>
        <w:rPr>
          <w:rFonts w:ascii="黑体" w:eastAsia="黑体" w:hAnsi="黑体" w:cs="宋体"/>
          <w:kern w:val="0"/>
          <w:sz w:val="20"/>
          <w:szCs w:val="20"/>
        </w:rPr>
      </w:pPr>
      <w:r w:rsidRPr="004A4E33">
        <w:rPr>
          <w:rFonts w:ascii="黑体" w:eastAsia="黑体" w:hAnsi="黑体" w:cs="宋体" w:hint="eastAsia"/>
          <w:bCs/>
          <w:kern w:val="0"/>
          <w:sz w:val="20"/>
          <w:szCs w:val="20"/>
        </w:rPr>
        <w:t>投资者在申购开放日申购，T日为开放日。</w:t>
      </w:r>
      <w:r>
        <w:rPr>
          <w:rFonts w:ascii="黑体" w:eastAsia="黑体" w:hAnsi="黑体" w:cs="宋体" w:hint="eastAsia"/>
          <w:bCs/>
          <w:kern w:val="0"/>
          <w:sz w:val="20"/>
          <w:szCs w:val="20"/>
        </w:rPr>
        <w:t>南浔</w:t>
      </w:r>
      <w:r w:rsidRPr="004A4E33">
        <w:rPr>
          <w:rFonts w:ascii="黑体" w:eastAsia="黑体" w:hAnsi="黑体" w:cs="宋体" w:hint="eastAsia"/>
          <w:bCs/>
          <w:kern w:val="0"/>
          <w:sz w:val="20"/>
          <w:szCs w:val="20"/>
        </w:rPr>
        <w:t>农商银行将在T日扣款，T</w:t>
      </w:r>
      <w:r w:rsidRPr="004A4E33">
        <w:rPr>
          <w:rFonts w:ascii="黑体" w:eastAsia="黑体" w:hAnsi="黑体" w:cs="宋体"/>
          <w:bCs/>
          <w:kern w:val="0"/>
          <w:sz w:val="20"/>
          <w:szCs w:val="20"/>
        </w:rPr>
        <w:t>+1</w:t>
      </w:r>
      <w:r w:rsidRPr="004A4E33">
        <w:rPr>
          <w:rFonts w:ascii="黑体" w:eastAsia="黑体" w:hAnsi="黑体" w:cs="宋体" w:hint="eastAsia"/>
          <w:bCs/>
          <w:kern w:val="0"/>
          <w:sz w:val="20"/>
          <w:szCs w:val="20"/>
        </w:rPr>
        <w:t>日以申购日（T</w:t>
      </w:r>
      <w:r>
        <w:rPr>
          <w:rFonts w:ascii="黑体" w:eastAsia="黑体" w:hAnsi="黑体" w:cs="宋体" w:hint="eastAsia"/>
          <w:bCs/>
          <w:kern w:val="0"/>
          <w:sz w:val="20"/>
          <w:szCs w:val="20"/>
        </w:rPr>
        <w:t>日）的日中份额净值确认</w:t>
      </w:r>
      <w:r w:rsidR="00685B3C" w:rsidRPr="000A1FCA">
        <w:rPr>
          <w:rFonts w:ascii="黑体" w:eastAsia="黑体" w:hAnsi="黑体" w:cs="宋体" w:hint="eastAsia"/>
          <w:bCs/>
          <w:kern w:val="0"/>
          <w:sz w:val="20"/>
          <w:szCs w:val="20"/>
        </w:rPr>
        <w:t>。投资者可以在申购确认日银行系统完成处理后，查询产品份额。</w:t>
      </w:r>
    </w:p>
    <w:p w14:paraId="5A84308D" w14:textId="77777777" w:rsidR="00837EB6" w:rsidRPr="000A1FCA" w:rsidRDefault="00685B3C">
      <w:pPr>
        <w:widowControl/>
        <w:snapToGrid w:val="0"/>
        <w:ind w:firstLineChars="200" w:firstLine="400"/>
        <w:jc w:val="left"/>
        <w:rPr>
          <w:rFonts w:ascii="黑体" w:eastAsia="黑体" w:hAnsi="黑体" w:cs="宋体"/>
          <w:kern w:val="0"/>
          <w:sz w:val="20"/>
          <w:szCs w:val="20"/>
        </w:rPr>
      </w:pPr>
      <w:r w:rsidRPr="000A1FCA">
        <w:rPr>
          <w:rFonts w:ascii="黑体" w:eastAsia="黑体" w:hAnsi="黑体" w:cs="宋体"/>
          <w:bCs/>
          <w:kern w:val="0"/>
          <w:sz w:val="20"/>
          <w:szCs w:val="20"/>
        </w:rPr>
        <w:t>3</w:t>
      </w:r>
      <w:r w:rsidRPr="000A1FCA">
        <w:rPr>
          <w:rFonts w:ascii="黑体" w:eastAsia="黑体" w:hAnsi="黑体" w:cs="宋体" w:hint="eastAsia"/>
          <w:bCs/>
          <w:kern w:val="0"/>
          <w:sz w:val="20"/>
          <w:szCs w:val="20"/>
        </w:rPr>
        <w:t>、赎回</w:t>
      </w:r>
    </w:p>
    <w:p w14:paraId="1C4781C4" w14:textId="77777777" w:rsidR="00837EB6" w:rsidRPr="000A1FCA" w:rsidRDefault="00685B3C">
      <w:pPr>
        <w:widowControl/>
        <w:ind w:rightChars="-51" w:right="-107"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本产品的固定赎回日为每周一、二、三</w:t>
      </w:r>
      <w:r w:rsidRPr="000A1FCA">
        <w:rPr>
          <w:rFonts w:ascii="黑体" w:eastAsia="黑体" w:hAnsi="黑体" w:hint="eastAsia"/>
          <w:sz w:val="20"/>
          <w:szCs w:val="20"/>
        </w:rPr>
        <w:t>（如遇非工作日不开放、不顺延），若除此之外临时开放</w:t>
      </w:r>
      <w:r w:rsidRPr="000A1FCA">
        <w:rPr>
          <w:rFonts w:ascii="黑体" w:eastAsia="黑体" w:hAnsi="黑体" w:cs="宋体" w:hint="eastAsia"/>
          <w:bCs/>
          <w:kern w:val="0"/>
          <w:sz w:val="20"/>
          <w:szCs w:val="20"/>
        </w:rPr>
        <w:t>以产品公告所载明的日期为准。南浔农商银行将通过其网站公告本产品的相关信息。</w:t>
      </w:r>
    </w:p>
    <w:p w14:paraId="7E4A0F4C" w14:textId="77777777" w:rsidR="00837EB6" w:rsidRPr="000A1FCA" w:rsidRDefault="00685B3C">
      <w:pPr>
        <w:widowControl/>
        <w:adjustRightInd w:val="0"/>
        <w:snapToGrid w:val="0"/>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投资者在赎回日内提出赎回申请，南浔农商银行于该赎回期对应的赎回确认日予以确认，赎回申请生效。</w:t>
      </w:r>
      <w:r w:rsidRPr="000A1FCA">
        <w:rPr>
          <w:rFonts w:ascii="黑体" w:eastAsia="黑体" w:hAnsi="黑体" w:cs="宋体" w:hint="eastAsia"/>
          <w:b/>
          <w:bCs/>
          <w:kern w:val="0"/>
          <w:sz w:val="20"/>
          <w:szCs w:val="20"/>
        </w:rPr>
        <w:t>投资者提出赎回的产品份额后，最终赎回的金额在确认日以前一工作日产品单位净值确认赎回金额。</w:t>
      </w:r>
    </w:p>
    <w:p w14:paraId="7A39C14E" w14:textId="77777777" w:rsidR="00685B3C" w:rsidRPr="000A1FCA" w:rsidRDefault="00685B3C" w:rsidP="00685B3C">
      <w:pPr>
        <w:widowControl/>
        <w:ind w:firstLineChars="200" w:firstLine="400"/>
        <w:jc w:val="left"/>
        <w:rPr>
          <w:rFonts w:ascii="黑体" w:eastAsia="黑体" w:hAnsi="黑体" w:cs="宋体"/>
          <w:bCs/>
          <w:kern w:val="0"/>
          <w:sz w:val="20"/>
          <w:szCs w:val="20"/>
        </w:rPr>
      </w:pPr>
      <w:r w:rsidRPr="000A1FCA">
        <w:rPr>
          <w:rFonts w:ascii="黑体" w:eastAsia="黑体" w:hAnsi="黑体" w:cs="宋体" w:hint="eastAsia"/>
          <w:bCs/>
          <w:kern w:val="0"/>
          <w:sz w:val="20"/>
          <w:szCs w:val="20"/>
        </w:rPr>
        <w:t>个人投资者单次赎回份额需为1千的整数倍，且持有本理财产品的实时份额最低为1万份；机构投资者单次赎回份额需为1万的整数倍，且持有本理财产品的实时份额最低为1</w:t>
      </w:r>
      <w:r w:rsidR="00DE6CF7" w:rsidRPr="000A1FCA">
        <w:rPr>
          <w:rFonts w:ascii="黑体" w:eastAsia="黑体" w:hAnsi="黑体" w:cs="宋体" w:hint="eastAsia"/>
          <w:bCs/>
          <w:kern w:val="0"/>
          <w:sz w:val="20"/>
          <w:szCs w:val="20"/>
        </w:rPr>
        <w:t>万份；投资者可选择全部或部分赎回，若部分赎回则需满足上述份额要求</w:t>
      </w:r>
      <w:r w:rsidRPr="000A1FCA">
        <w:rPr>
          <w:rFonts w:ascii="黑体" w:eastAsia="黑体" w:hAnsi="黑体" w:cs="宋体" w:hint="eastAsia"/>
          <w:bCs/>
          <w:kern w:val="0"/>
          <w:sz w:val="20"/>
          <w:szCs w:val="20"/>
        </w:rPr>
        <w:t>，否则系统将自动予以全部赎回。</w:t>
      </w:r>
    </w:p>
    <w:p w14:paraId="14B9C05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投资者只能对已进入理财运作的份额进行赎回，如该笔资金仅申请申购但尚未确认申购成功，投资者不能提交赎回申请。</w:t>
      </w:r>
    </w:p>
    <w:p w14:paraId="35150FA4"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bCs/>
          <w:kern w:val="0"/>
          <w:sz w:val="20"/>
          <w:szCs w:val="20"/>
        </w:rPr>
        <w:t>4</w:t>
      </w:r>
      <w:r w:rsidRPr="000A1FCA">
        <w:rPr>
          <w:rFonts w:ascii="黑体" w:eastAsia="黑体" w:hAnsi="黑体" w:cs="宋体" w:hint="eastAsia"/>
          <w:bCs/>
          <w:kern w:val="0"/>
          <w:sz w:val="20"/>
          <w:szCs w:val="20"/>
        </w:rPr>
        <w:t>、赎回确认日</w:t>
      </w:r>
    </w:p>
    <w:p w14:paraId="0405E358" w14:textId="77777777" w:rsidR="004A4E33" w:rsidRDefault="004A4E33">
      <w:pPr>
        <w:widowControl/>
        <w:adjustRightInd w:val="0"/>
        <w:snapToGrid w:val="0"/>
        <w:ind w:firstLine="360"/>
        <w:jc w:val="left"/>
        <w:rPr>
          <w:rFonts w:ascii="黑体" w:eastAsia="黑体" w:hAnsi="黑体" w:cs="宋体"/>
          <w:bCs/>
          <w:kern w:val="0"/>
          <w:sz w:val="20"/>
          <w:szCs w:val="20"/>
        </w:rPr>
      </w:pPr>
    </w:p>
    <w:p w14:paraId="70EF557F" w14:textId="77777777" w:rsidR="00837EB6" w:rsidRPr="004A4E33" w:rsidRDefault="004A4E33" w:rsidP="004A4E33">
      <w:pPr>
        <w:widowControl/>
        <w:adjustRightInd w:val="0"/>
        <w:snapToGrid w:val="0"/>
        <w:ind w:firstLine="360"/>
        <w:jc w:val="left"/>
        <w:rPr>
          <w:rFonts w:ascii="黑体" w:eastAsia="黑体" w:hAnsi="黑体" w:cs="宋体"/>
          <w:bCs/>
          <w:kern w:val="0"/>
          <w:sz w:val="20"/>
          <w:szCs w:val="20"/>
        </w:rPr>
      </w:pPr>
      <w:r w:rsidRPr="004A4E33">
        <w:rPr>
          <w:rFonts w:ascii="黑体" w:eastAsia="黑体" w:hAnsi="黑体" w:cs="宋体" w:hint="eastAsia"/>
          <w:bCs/>
          <w:kern w:val="0"/>
          <w:sz w:val="20"/>
          <w:szCs w:val="20"/>
        </w:rPr>
        <w:lastRenderedPageBreak/>
        <w:t>投资者在</w:t>
      </w:r>
      <w:r>
        <w:rPr>
          <w:rFonts w:ascii="黑体" w:eastAsia="黑体" w:hAnsi="黑体" w:cs="宋体" w:hint="eastAsia"/>
          <w:bCs/>
          <w:kern w:val="0"/>
          <w:sz w:val="20"/>
          <w:szCs w:val="20"/>
        </w:rPr>
        <w:t>赎回</w:t>
      </w:r>
      <w:r w:rsidRPr="004A4E33">
        <w:rPr>
          <w:rFonts w:ascii="黑体" w:eastAsia="黑体" w:hAnsi="黑体" w:cs="宋体" w:hint="eastAsia"/>
          <w:bCs/>
          <w:kern w:val="0"/>
          <w:sz w:val="20"/>
          <w:szCs w:val="20"/>
        </w:rPr>
        <w:t>开放日</w:t>
      </w:r>
      <w:r>
        <w:rPr>
          <w:rFonts w:ascii="黑体" w:eastAsia="黑体" w:hAnsi="黑体" w:cs="宋体" w:hint="eastAsia"/>
          <w:bCs/>
          <w:kern w:val="0"/>
          <w:sz w:val="20"/>
          <w:szCs w:val="20"/>
        </w:rPr>
        <w:t>赎回</w:t>
      </w:r>
      <w:r w:rsidRPr="004A4E33">
        <w:rPr>
          <w:rFonts w:ascii="黑体" w:eastAsia="黑体" w:hAnsi="黑体" w:cs="宋体" w:hint="eastAsia"/>
          <w:bCs/>
          <w:kern w:val="0"/>
          <w:sz w:val="20"/>
          <w:szCs w:val="20"/>
        </w:rPr>
        <w:t>，</w:t>
      </w:r>
      <w:r>
        <w:rPr>
          <w:rFonts w:ascii="黑体" w:eastAsia="黑体" w:hAnsi="黑体" w:cs="宋体" w:hint="eastAsia"/>
          <w:bCs/>
          <w:kern w:val="0"/>
          <w:sz w:val="20"/>
          <w:szCs w:val="20"/>
        </w:rPr>
        <w:t>南浔</w:t>
      </w:r>
      <w:r w:rsidRPr="004A4E33">
        <w:rPr>
          <w:rFonts w:ascii="黑体" w:eastAsia="黑体" w:hAnsi="黑体" w:cs="宋体" w:hint="eastAsia"/>
          <w:bCs/>
          <w:kern w:val="0"/>
          <w:sz w:val="20"/>
          <w:szCs w:val="20"/>
        </w:rPr>
        <w:t>农商银行在赎回确认日对投资者的赎回申请的有效性进行确认。赎回确认T日赎回，T+1日确认。</w:t>
      </w:r>
    </w:p>
    <w:p w14:paraId="28AFE1A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kern w:val="0"/>
          <w:sz w:val="20"/>
          <w:szCs w:val="20"/>
        </w:rPr>
        <w:t>5</w:t>
      </w:r>
      <w:r w:rsidRPr="000A1FCA">
        <w:rPr>
          <w:rFonts w:ascii="黑体" w:eastAsia="黑体" w:hAnsi="黑体" w:cs="宋体" w:hint="eastAsia"/>
          <w:kern w:val="0"/>
          <w:sz w:val="20"/>
          <w:szCs w:val="20"/>
        </w:rPr>
        <w:t>、投资者赎回申请生效后，</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将赎回款于</w:t>
      </w:r>
      <w:r w:rsidRPr="000A1FCA">
        <w:rPr>
          <w:rFonts w:ascii="黑体" w:eastAsia="黑体" w:hAnsi="黑体" w:cs="宋体" w:hint="eastAsia"/>
          <w:bCs/>
          <w:kern w:val="0"/>
          <w:sz w:val="20"/>
          <w:szCs w:val="20"/>
        </w:rPr>
        <w:t>确认日后</w:t>
      </w:r>
      <w:r w:rsidRPr="000A1FCA">
        <w:rPr>
          <w:rFonts w:ascii="黑体" w:eastAsia="黑体" w:hAnsi="黑体" w:cs="宋体" w:hint="eastAsia"/>
          <w:kern w:val="0"/>
          <w:sz w:val="20"/>
          <w:szCs w:val="20"/>
        </w:rPr>
        <w:t>1个工作日内支付给投资者。如遇非工作日，则顺延至下一个工作日，顺延期间不计投资收益或亏损。</w:t>
      </w:r>
    </w:p>
    <w:p w14:paraId="7E6F6D9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kern w:val="0"/>
          <w:sz w:val="20"/>
          <w:szCs w:val="20"/>
        </w:rPr>
        <w:t>6</w:t>
      </w:r>
      <w:r w:rsidRPr="000A1FCA">
        <w:rPr>
          <w:rFonts w:ascii="黑体" w:eastAsia="黑体" w:hAnsi="黑体" w:cs="宋体" w:hint="eastAsia"/>
          <w:kern w:val="0"/>
          <w:sz w:val="20"/>
          <w:szCs w:val="20"/>
        </w:rPr>
        <w:t>、申购/赎回开放时间</w:t>
      </w:r>
    </w:p>
    <w:p w14:paraId="13CC6272" w14:textId="77777777" w:rsidR="00837EB6" w:rsidRPr="000A1FCA" w:rsidRDefault="00685B3C">
      <w:pPr>
        <w:widowControl/>
        <w:ind w:firstLineChars="200" w:firstLine="400"/>
        <w:jc w:val="left"/>
        <w:rPr>
          <w:rFonts w:ascii="黑体" w:eastAsia="黑体" w:hAnsi="黑体" w:cs="宋体"/>
          <w:b/>
          <w:kern w:val="0"/>
          <w:sz w:val="20"/>
          <w:szCs w:val="20"/>
        </w:rPr>
      </w:pPr>
      <w:r w:rsidRPr="000A1FCA">
        <w:rPr>
          <w:rFonts w:ascii="黑体" w:eastAsia="黑体" w:hAnsi="黑体" w:cs="宋体" w:hint="eastAsia"/>
          <w:bCs/>
          <w:kern w:val="0"/>
          <w:sz w:val="20"/>
          <w:szCs w:val="20"/>
        </w:rPr>
        <w:t>开放时间为每周一上午0:00-周三下午15:00。在该开放时间内，每个开放日15:00前，投资者可以对当日所发起的申赎申请进行撤单；每个开放日15:00后，无法对当日15:00前发起的申赎申请进行撤单；每个开放日15:00后发起的申购申请自动顺延至下一个开放日；撤单申请仅针对归属于同一开放日的申赎申请有效。申赎申请截止时间以每周三下午15:00为准，15:00后不接受申赎申请。未提交赎回申请的，系统不自动赎回。</w:t>
      </w:r>
    </w:p>
    <w:p w14:paraId="22E97D9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对该申购/赎回开放时间保留变更的权利。如发生变更，申购/赎回开放时间以</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通过其各营业网点或</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网站发布的变更公告中所载明的新申购/赎回开放时间为准，</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将至少提前一个工作日通过其各营业网点或网站发布变更公告。</w:t>
      </w:r>
    </w:p>
    <w:p w14:paraId="7282E87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kern w:val="0"/>
          <w:sz w:val="20"/>
          <w:szCs w:val="20"/>
        </w:rPr>
        <w:t>7</w:t>
      </w:r>
      <w:r w:rsidRPr="000A1FCA">
        <w:rPr>
          <w:rFonts w:ascii="黑体" w:eastAsia="黑体" w:hAnsi="黑体" w:cs="宋体" w:hint="eastAsia"/>
          <w:kern w:val="0"/>
          <w:sz w:val="20"/>
          <w:szCs w:val="20"/>
        </w:rPr>
        <w:t>、日期遇非工作日调整</w:t>
      </w:r>
    </w:p>
    <w:p w14:paraId="231CC6F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申购/赎回的开放期、确认日，如遇非工作日则南浔农商银行有权做相应调整，具体日期以产品公告所载明的日期为准。南浔农商银行对上述日期保留变更的权利，调整后的日期以南浔农商银行通过其各营业网点或网站发布的公告中所载明的日期为准。</w:t>
      </w:r>
    </w:p>
    <w:p w14:paraId="2209D25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（二）申购与赎回的原则</w:t>
      </w:r>
    </w:p>
    <w:p w14:paraId="6DD6261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1、“金额申购、份额赎回”原则，即申购以金额申请，赎回以份额申请。</w:t>
      </w:r>
    </w:p>
    <w:p w14:paraId="4B7F66A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2、申购、</w:t>
      </w:r>
      <w:r w:rsidRPr="000A1FCA">
        <w:rPr>
          <w:rFonts w:ascii="黑体" w:eastAsia="黑体" w:hAnsi="黑体" w:cs="宋体" w:hint="eastAsia"/>
          <w:bCs/>
          <w:kern w:val="0"/>
          <w:sz w:val="20"/>
          <w:szCs w:val="20"/>
        </w:rPr>
        <w:t>赎回均采用前一工作日产品单位净值进行确认。</w:t>
      </w:r>
    </w:p>
    <w:p w14:paraId="719277C6"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（三）认购、申购和赎回方式</w:t>
      </w:r>
    </w:p>
    <w:p w14:paraId="1B09D5F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1、投资者可通过</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各营业网点和电子银行渠道提交认购、申购和赎回申请。产品成立之前提交的购买申请为认购申请，产品成立之后提交的申请为申购申请。</w:t>
      </w:r>
    </w:p>
    <w:p w14:paraId="636292C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2、投资者通过</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各营业网点柜面认购或申购本产品，应签署《产品协议书》、《产品说明书》、《风险揭示书》、《投资者权益须知》等相关文本。</w:t>
      </w:r>
    </w:p>
    <w:p w14:paraId="57A6275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3、投资者如通过</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提供的电子银行渠道认购、申购和赎回本产品，应根据电子银行渠道的要求提交申请。</w:t>
      </w:r>
    </w:p>
    <w:p w14:paraId="1C40649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（四）申购和赎回的数量限制</w:t>
      </w:r>
    </w:p>
    <w:p w14:paraId="6D60A85C"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1、个人投资者首次</w:t>
      </w:r>
      <w:r w:rsidRPr="000A1FCA">
        <w:rPr>
          <w:rFonts w:ascii="黑体" w:eastAsia="黑体" w:hAnsi="黑体" w:cs="宋体" w:hint="eastAsia"/>
          <w:bCs/>
          <w:kern w:val="0"/>
          <w:sz w:val="20"/>
          <w:szCs w:val="20"/>
        </w:rPr>
        <w:t>认购/申购起点金额为1万元，高于认购/申购起点金额以人民币1千元的整数倍递增。机构投资者认购/申购起点金额为50万元，高于认购/申购起点金额以人民币1万元的整数倍递增。</w:t>
      </w:r>
    </w:p>
    <w:p w14:paraId="3027BCA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2、对于已持有本产品的金额超过申购起点金额的个人及机构投资者，在产品申购交易开放日，</w:t>
      </w:r>
      <w:r w:rsidR="00F24D22">
        <w:rPr>
          <w:rFonts w:ascii="黑体" w:eastAsia="黑体" w:hAnsi="黑体" w:cs="宋体" w:hint="eastAsia"/>
          <w:kern w:val="0"/>
          <w:sz w:val="20"/>
          <w:szCs w:val="20"/>
        </w:rPr>
        <w:t>个人投资者</w:t>
      </w:r>
      <w:r w:rsidRPr="000A1FCA">
        <w:rPr>
          <w:rFonts w:ascii="黑体" w:eastAsia="黑体" w:hAnsi="黑体" w:cs="宋体" w:hint="eastAsia"/>
          <w:kern w:val="0"/>
          <w:sz w:val="20"/>
          <w:szCs w:val="20"/>
        </w:rPr>
        <w:t>可按人民币</w:t>
      </w:r>
      <w:r w:rsidR="00F24D22" w:rsidRPr="000A1FCA">
        <w:rPr>
          <w:rFonts w:ascii="黑体" w:eastAsia="黑体" w:hAnsi="黑体" w:cs="宋体" w:hint="eastAsia"/>
          <w:bCs/>
          <w:kern w:val="0"/>
          <w:sz w:val="20"/>
          <w:szCs w:val="20"/>
        </w:rPr>
        <w:t>1千元</w:t>
      </w:r>
      <w:r w:rsidR="00F24D22">
        <w:rPr>
          <w:rFonts w:ascii="黑体" w:eastAsia="黑体" w:hAnsi="黑体" w:cs="宋体" w:hint="eastAsia"/>
          <w:kern w:val="0"/>
          <w:sz w:val="20"/>
          <w:szCs w:val="20"/>
        </w:rPr>
        <w:t>的整数倍继续追加投资，机构投资者</w:t>
      </w:r>
      <w:r w:rsidR="00F24D22" w:rsidRPr="000A1FCA">
        <w:rPr>
          <w:rFonts w:ascii="黑体" w:eastAsia="黑体" w:hAnsi="黑体" w:cs="宋体" w:hint="eastAsia"/>
          <w:kern w:val="0"/>
          <w:sz w:val="20"/>
          <w:szCs w:val="20"/>
        </w:rPr>
        <w:t>可按人民币</w:t>
      </w:r>
      <w:r w:rsidR="00F24D22" w:rsidRPr="000A1FCA">
        <w:rPr>
          <w:rFonts w:ascii="黑体" w:eastAsia="黑体" w:hAnsi="黑体" w:cs="宋体" w:hint="eastAsia"/>
          <w:bCs/>
          <w:kern w:val="0"/>
          <w:sz w:val="20"/>
          <w:szCs w:val="20"/>
        </w:rPr>
        <w:t>1</w:t>
      </w:r>
      <w:r w:rsidR="00F24D22">
        <w:rPr>
          <w:rFonts w:ascii="黑体" w:eastAsia="黑体" w:hAnsi="黑体" w:cs="宋体" w:hint="eastAsia"/>
          <w:bCs/>
          <w:kern w:val="0"/>
          <w:sz w:val="20"/>
          <w:szCs w:val="20"/>
        </w:rPr>
        <w:t>万</w:t>
      </w:r>
      <w:r w:rsidR="00F24D22" w:rsidRPr="000A1FCA">
        <w:rPr>
          <w:rFonts w:ascii="黑体" w:eastAsia="黑体" w:hAnsi="黑体" w:cs="宋体" w:hint="eastAsia"/>
          <w:bCs/>
          <w:kern w:val="0"/>
          <w:sz w:val="20"/>
          <w:szCs w:val="20"/>
        </w:rPr>
        <w:t>元</w:t>
      </w:r>
      <w:r w:rsidR="00F24D22">
        <w:rPr>
          <w:rFonts w:ascii="黑体" w:eastAsia="黑体" w:hAnsi="黑体" w:cs="宋体" w:hint="eastAsia"/>
          <w:kern w:val="0"/>
          <w:sz w:val="20"/>
          <w:szCs w:val="20"/>
        </w:rPr>
        <w:t>的整数倍继续追加投资</w:t>
      </w:r>
      <w:r w:rsidR="00F24D22" w:rsidRPr="000A1FCA">
        <w:rPr>
          <w:rFonts w:ascii="黑体" w:eastAsia="黑体" w:hAnsi="黑体" w:cs="宋体" w:hint="eastAsia"/>
          <w:bCs/>
          <w:kern w:val="0"/>
          <w:sz w:val="20"/>
          <w:szCs w:val="20"/>
        </w:rPr>
        <w:t>。</w:t>
      </w:r>
    </w:p>
    <w:p w14:paraId="7F7CDD14" w14:textId="77777777" w:rsidR="00DE6CF7" w:rsidRPr="000A1FCA" w:rsidRDefault="00685B3C">
      <w:pPr>
        <w:widowControl/>
        <w:ind w:firstLineChars="200" w:firstLine="400"/>
        <w:jc w:val="left"/>
        <w:rPr>
          <w:rFonts w:ascii="黑体" w:eastAsia="黑体" w:hAnsi="黑体" w:cs="宋体"/>
          <w:bCs/>
          <w:kern w:val="0"/>
          <w:sz w:val="20"/>
          <w:szCs w:val="20"/>
        </w:rPr>
      </w:pPr>
      <w:r w:rsidRPr="000A1FCA">
        <w:rPr>
          <w:rFonts w:ascii="黑体" w:eastAsia="黑体" w:hAnsi="黑体" w:cs="宋体" w:hint="eastAsia"/>
          <w:bCs/>
          <w:kern w:val="0"/>
          <w:sz w:val="20"/>
          <w:szCs w:val="20"/>
        </w:rPr>
        <w:t>3、个人投资者单次赎回份额需为1千的整数倍；且持有本理财产品的实时份额最低为1万份；机构投资者单次赎回份额需为1万的整数倍；且持有本理财产品的实时份额最低为1万份；投资者可选择全部或部分赎回，</w:t>
      </w:r>
      <w:r w:rsidR="00DE6CF7" w:rsidRPr="000A1FCA">
        <w:rPr>
          <w:rFonts w:ascii="黑体" w:eastAsia="黑体" w:hAnsi="黑体" w:cs="宋体" w:hint="eastAsia"/>
          <w:bCs/>
          <w:kern w:val="0"/>
          <w:sz w:val="20"/>
          <w:szCs w:val="20"/>
        </w:rPr>
        <w:t>若部分赎回则需满足上述份额要求，否则系统将自动予以全部赎回。</w:t>
      </w:r>
    </w:p>
    <w:p w14:paraId="743A51F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4、投资者可将其全部或部分理财份额赎回，巨额赎回情景发生时，投资者的可赎回份额需要根据巨额赎回规则确定。</w:t>
      </w:r>
    </w:p>
    <w:p w14:paraId="7C6804F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5、产品管理人有权决定理财份额持有人持有本产品的最高限额和本产品的总规模限额。</w:t>
      </w:r>
    </w:p>
    <w:p w14:paraId="3D945306"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（五）申购和赎回的价格与费用</w:t>
      </w:r>
    </w:p>
    <w:p w14:paraId="7E41E36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1、申购和赎回的费用</w:t>
      </w:r>
    </w:p>
    <w:p w14:paraId="40BE82B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本产品不收取申购费用与赎回费用。</w:t>
      </w:r>
    </w:p>
    <w:p w14:paraId="67A8C63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2、申购份额的计算</w:t>
      </w:r>
    </w:p>
    <w:p w14:paraId="50C85CB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lastRenderedPageBreak/>
        <w:t>本产品申购份额的计算公式如下：</w:t>
      </w:r>
    </w:p>
    <w:p w14:paraId="31995ED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申购份额＝申购金额/</w:t>
      </w:r>
      <w:r w:rsidRPr="000A1FCA">
        <w:rPr>
          <w:rFonts w:ascii="黑体" w:eastAsia="黑体" w:hAnsi="黑体" w:cs="宋体" w:hint="eastAsia"/>
          <w:bCs/>
          <w:kern w:val="0"/>
          <w:sz w:val="20"/>
          <w:szCs w:val="20"/>
        </w:rPr>
        <w:t>申购确认日前一工作日产品份额净值</w:t>
      </w:r>
    </w:p>
    <w:p w14:paraId="63D8958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3、赎回金额的计算</w:t>
      </w:r>
    </w:p>
    <w:p w14:paraId="06ED4F1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投资者在赎回理财份额时，赎回金额按如下公式计算：</w:t>
      </w:r>
    </w:p>
    <w:p w14:paraId="58FEC55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赎回金额=赎回份额×</w:t>
      </w:r>
      <w:r w:rsidRPr="000A1FCA">
        <w:rPr>
          <w:rFonts w:ascii="黑体" w:eastAsia="黑体" w:hAnsi="黑体" w:cs="宋体" w:hint="eastAsia"/>
          <w:bCs/>
          <w:kern w:val="0"/>
          <w:sz w:val="20"/>
          <w:szCs w:val="20"/>
        </w:rPr>
        <w:t>赎回确认日前一工作日产品份额净值</w:t>
      </w:r>
    </w:p>
    <w:p w14:paraId="40E4B09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上述计算结果均按四舍五入方法，保留到小数点后2位，由此产生的收益或损失由理财产品承担。</w:t>
      </w:r>
    </w:p>
    <w:p w14:paraId="20571D2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（六）拒绝或暂停申购的情形</w:t>
      </w:r>
    </w:p>
    <w:p w14:paraId="4905E63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发生下列情况时，产品管理人可拒绝或暂停接受投资人的认购/申购申请：</w:t>
      </w:r>
    </w:p>
    <w:p w14:paraId="025C9FC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1、因不可抗力导致理财无法正常运作。</w:t>
      </w:r>
    </w:p>
    <w:p w14:paraId="366B1F3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2、发生暂停理财资产估值情况时，产品管理人可暂停接受投资人的申购申请。</w:t>
      </w:r>
    </w:p>
    <w:p w14:paraId="46994D1C"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3、证券交易所或银行间市场在交易时间非正常停市，导致产品管理人无法计算当日理财资产净值。</w:t>
      </w:r>
    </w:p>
    <w:p w14:paraId="02300AA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4、本产品出现当日净收益小于零的情形，为保护持有人的权益，产品管理人可暂停本产品的申购。</w:t>
      </w:r>
    </w:p>
    <w:p w14:paraId="0814AC1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5、产品管理人认为接受某笔或某些申购申请可能会影响或损害现有理财份额持有人权益时。</w:t>
      </w:r>
    </w:p>
    <w:p w14:paraId="1C19B90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6、理财资产规模过大，使产品管理人无法找到合适的投资品种，或其他可能对理财业绩产生负面影响，从而损害现有理财份额持有人权益的情形。</w:t>
      </w:r>
    </w:p>
    <w:p w14:paraId="21DC42D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7、产品管理人和产品托管人的技术保障等异常情况导致理财销售系统或会计系统无法正常运行。</w:t>
      </w:r>
    </w:p>
    <w:p w14:paraId="19FDD026"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8、法律法规规定或监管机构认定的其他情形。</w:t>
      </w:r>
    </w:p>
    <w:p w14:paraId="3926F1F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如果投资人的申购申请被拒绝，被拒绝的申购款项将退还给投资人。在暂停申购的情况消除时，产品管理人应及时恢复申购业务的办理。</w:t>
      </w:r>
    </w:p>
    <w:p w14:paraId="261CB296"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（七）暂停赎回或延缓支付赎回款项的情形</w:t>
      </w:r>
    </w:p>
    <w:p w14:paraId="35FBE23C"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发生下列情形时，产品管理人可暂停接受投资者的赎回申请或延缓支付赎回款项：</w:t>
      </w:r>
    </w:p>
    <w:p w14:paraId="1B22E50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1、因不可抗力导致产品管理人不能支付赎回款项。</w:t>
      </w:r>
    </w:p>
    <w:p w14:paraId="24B9E19E"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2、发生暂停理财资产估值情况时，产品管理人可暂停接受投资人的赎回申请或延缓支付赎回款项。</w:t>
      </w:r>
    </w:p>
    <w:p w14:paraId="0A111F3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3、证券交易所或银行间市场在交易时间非正常停市，导致产品管理人无法计算当日理财资产净值。</w:t>
      </w:r>
    </w:p>
    <w:p w14:paraId="4DE7A9B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4、证券交易所或银行间市场出现异常市场情况，管理人无法开展产品的流动性管理。</w:t>
      </w:r>
    </w:p>
    <w:p w14:paraId="4B66D3C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5、本产品出现当日净收益小于零的情形，为保护持有人的权益，产品管理人可暂停本产品的赎回。</w:t>
      </w:r>
    </w:p>
    <w:p w14:paraId="42D774A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6、发生巨额赎回。</w:t>
      </w:r>
    </w:p>
    <w:p w14:paraId="5EA1F73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7、产品管理人和产品托管人的技术保障等异常情况导致理财销售系统或会计系统无法正常运行。</w:t>
      </w:r>
    </w:p>
    <w:p w14:paraId="0695D1B3"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8、法律法规规定或监管机构认定的其他情形。</w:t>
      </w:r>
    </w:p>
    <w:p w14:paraId="3C9A75E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在暂停赎回或延缓支付赎回款项的情况消除时，产品管理人应及时恢复赎回或支付业务赎回款项的办理。</w:t>
      </w:r>
    </w:p>
    <w:p w14:paraId="0CA9E966"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（八）暂停申购或赎回的公告和重新开放申购或赎回的公告</w:t>
      </w:r>
    </w:p>
    <w:p w14:paraId="6D6BB6A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发生上述暂停认购/申购或赎回情况的，以及暂停认购/申购或赎回期间结束，理财重新开放时，产品管理人将通过其各营业网点或</w:t>
      </w:r>
      <w:r w:rsidRPr="000A1FCA">
        <w:rPr>
          <w:rFonts w:ascii="黑体" w:eastAsia="黑体" w:hAnsi="黑体" w:cs="宋体" w:hint="eastAsia"/>
          <w:bCs/>
          <w:kern w:val="0"/>
          <w:sz w:val="20"/>
          <w:szCs w:val="20"/>
        </w:rPr>
        <w:t>南浔农商银行</w:t>
      </w:r>
      <w:r w:rsidRPr="000A1FCA">
        <w:rPr>
          <w:rFonts w:ascii="黑体" w:eastAsia="黑体" w:hAnsi="黑体" w:cs="宋体" w:hint="eastAsia"/>
          <w:kern w:val="0"/>
          <w:sz w:val="20"/>
          <w:szCs w:val="20"/>
        </w:rPr>
        <w:t>网站发布公告。</w:t>
      </w:r>
    </w:p>
    <w:p w14:paraId="584B4B9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（九）巨额赎回的情形及处理方式</w:t>
      </w:r>
    </w:p>
    <w:p w14:paraId="5BA06DD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1、巨额赎回的认定</w:t>
      </w:r>
    </w:p>
    <w:p w14:paraId="34A1FC7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lastRenderedPageBreak/>
        <w:t>单个赎回期中，本产品的累计产品份额净赎回申请（赎回申请总份额扣除申购总份额后的余额,下同）之和达到前一日产品总份额的10%，为巨额赎回。</w:t>
      </w:r>
    </w:p>
    <w:p w14:paraId="455E24C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2、巨额赎回的处理方式</w:t>
      </w:r>
    </w:p>
    <w:p w14:paraId="47B6138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出现巨额赎回时，南浔农商银行有权不接受超出部分的净赎回申请，但投资者可于下一赎回日重新进行赎回申请。</w:t>
      </w:r>
    </w:p>
    <w:p w14:paraId="2F17FA16"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3、巨额赎回的公告</w:t>
      </w:r>
    </w:p>
    <w:p w14:paraId="45E1E1E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在发生巨额赎回南浔农商银行暂停接受投资者赎回申请时，南浔农商银行通过南浔农商银行网站或相关营业网点发布相关信息。</w:t>
      </w:r>
    </w:p>
    <w:p w14:paraId="05A33DF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宋体" w:eastAsia="黑体" w:hAnsi="宋体" w:cs="宋体" w:hint="eastAsia"/>
          <w:kern w:val="0"/>
          <w:sz w:val="20"/>
          <w:szCs w:val="20"/>
        </w:rPr>
        <w:t> </w:t>
      </w:r>
    </w:p>
    <w:p w14:paraId="628C3225" w14:textId="77777777" w:rsidR="00837EB6" w:rsidRPr="000A1FCA" w:rsidRDefault="00685B3C">
      <w:pPr>
        <w:widowControl/>
        <w:spacing w:line="280" w:lineRule="exact"/>
        <w:jc w:val="center"/>
        <w:rPr>
          <w:rFonts w:ascii="黑体" w:eastAsia="黑体" w:hAnsi="黑体" w:cs="宋体"/>
          <w:kern w:val="0"/>
          <w:sz w:val="22"/>
          <w:szCs w:val="20"/>
        </w:rPr>
      </w:pPr>
      <w:r w:rsidRPr="000A1FCA">
        <w:rPr>
          <w:rFonts w:ascii="黑体" w:eastAsia="黑体" w:hAnsi="黑体" w:cs="宋体" w:hint="eastAsia"/>
          <w:b/>
          <w:kern w:val="0"/>
          <w:sz w:val="22"/>
          <w:szCs w:val="20"/>
        </w:rPr>
        <w:t>三、理财产品的投资</w:t>
      </w:r>
    </w:p>
    <w:p w14:paraId="376CAF5A"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（一）投资目标</w:t>
      </w:r>
    </w:p>
    <w:p w14:paraId="5F8FD77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本产品为固定收益类产品，在严格管理投资风险的基础上，追求资产的长期稳定增值。</w:t>
      </w:r>
    </w:p>
    <w:p w14:paraId="2C4A3D9C"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（二）投资理念</w:t>
      </w:r>
    </w:p>
    <w:p w14:paraId="372A5ECB"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本产品在严格控制风险并保持理财资产流动性的前提下，通过对宏观经济、政策环境、市场状况和资金供求的深入分析，主动构建及调整投资组合，力争获取超额收益。</w:t>
      </w:r>
    </w:p>
    <w:p w14:paraId="6F835268"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（三）投资范围</w:t>
      </w:r>
      <w:r w:rsidRPr="000A1FCA">
        <w:rPr>
          <w:rFonts w:ascii="宋体" w:hAnsi="宋体" w:cs="宋体" w:hint="eastAsia"/>
          <w:kern w:val="0"/>
          <w:sz w:val="18"/>
          <w:szCs w:val="18"/>
        </w:rPr>
        <w:t>、比例及限制</w:t>
      </w:r>
    </w:p>
    <w:p w14:paraId="1BFD569F"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1、本产品主要投资于符合监管要求的固定收益类资产，主要投资范围包括但不限于：</w:t>
      </w:r>
    </w:p>
    <w:p w14:paraId="60F0C888"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（1）银行存款、债券回购、货币基金等货币市场工具及其它银行间和交易所资金融通工具，投资比例0-100%。</w:t>
      </w:r>
    </w:p>
    <w:p w14:paraId="104A0125"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80%-100%。</w:t>
      </w:r>
    </w:p>
    <w:p w14:paraId="021AA5F6"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（3）符合监管要求的其他债权类资产，投资比例0-50%。</w:t>
      </w:r>
    </w:p>
    <w:p w14:paraId="535D86B6"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2、产品因为流动性需要可开展存单质押、债券正回购等融资业务，本产品总资产不超过净资产的140%</w:t>
      </w:r>
    </w:p>
    <w:p w14:paraId="4605E4BD" w14:textId="77777777" w:rsidR="00837EB6" w:rsidRPr="000A1FCA" w:rsidRDefault="00685B3C" w:rsidP="00556CC4">
      <w:pPr>
        <w:widowControl/>
        <w:spacing w:line="280" w:lineRule="exact"/>
        <w:ind w:firstLineChars="200" w:firstLine="433"/>
        <w:jc w:val="left"/>
        <w:rPr>
          <w:rFonts w:ascii="黑体" w:eastAsia="黑体" w:hAnsi="黑体" w:cs="宋体"/>
          <w:kern w:val="0"/>
          <w:sz w:val="20"/>
          <w:szCs w:val="20"/>
        </w:rPr>
      </w:pPr>
      <w:r w:rsidRPr="000A1FCA">
        <w:rPr>
          <w:rFonts w:ascii="黑体" w:eastAsia="黑体" w:hAnsi="黑体" w:cs="宋体" w:hint="eastAsia"/>
          <w:b/>
          <w:bCs/>
          <w:kern w:val="0"/>
          <w:sz w:val="20"/>
          <w:szCs w:val="20"/>
        </w:rPr>
        <w:t>特别提示：</w:t>
      </w:r>
    </w:p>
    <w:p w14:paraId="6B24F15D"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1、南浔农商银行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南浔农商银行将在合理期限内进行调整，使之符合投资配置策略要求。金融市场发生重大变化导致理财产品投资比例暂时超出浮动区间且可能对理财产品收益产生重大影响的，南浔农商银行将于两个工作日内通过各营业网点或南浔农商银行网站发布重大事项公告。投资者有权不接受变更，并通过赎回，在本投资周期结束后退出本产品。</w:t>
      </w:r>
    </w:p>
    <w:p w14:paraId="034C5A4D"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2、</w:t>
      </w:r>
      <w:r w:rsidRPr="000A1FCA">
        <w:rPr>
          <w:rFonts w:ascii="黑体" w:eastAsia="黑体" w:hAnsi="黑体" w:cs="宋体" w:hint="eastAsia"/>
          <w:b/>
          <w:bCs/>
          <w:kern w:val="0"/>
          <w:sz w:val="20"/>
          <w:szCs w:val="20"/>
        </w:rPr>
        <w:t>对以上理财投资标准、投资对象与投资比例，南浔农商银行保留变更的权利</w:t>
      </w:r>
      <w:r w:rsidRPr="000A1FCA">
        <w:rPr>
          <w:rFonts w:ascii="黑体" w:eastAsia="黑体" w:hAnsi="黑体" w:cs="宋体" w:hint="eastAsia"/>
          <w:bCs/>
          <w:kern w:val="0"/>
          <w:sz w:val="20"/>
          <w:szCs w:val="20"/>
        </w:rPr>
        <w:t>，如发生变更，相关内容以南浔农商银行通过各营业网点或南浔农商银行网站发布的变更公告中所载明的内容为准。南浔农商银行将至少提前一个工作日通过其各营业网点或南浔农商银行网站发布变更公告。投资者有权不接受变更，并通过赎回，在本投资周期结束后退出本产品。</w:t>
      </w:r>
    </w:p>
    <w:p w14:paraId="2330E376" w14:textId="77777777" w:rsidR="00837EB6" w:rsidRPr="000A1FCA" w:rsidRDefault="00685B3C" w:rsidP="00556CC4">
      <w:pPr>
        <w:widowControl/>
        <w:spacing w:line="280" w:lineRule="exact"/>
        <w:ind w:firstLineChars="200" w:firstLine="433"/>
        <w:jc w:val="left"/>
        <w:rPr>
          <w:rFonts w:ascii="黑体" w:eastAsia="黑体" w:hAnsi="黑体" w:cs="宋体"/>
          <w:b/>
          <w:bCs/>
          <w:kern w:val="0"/>
          <w:sz w:val="20"/>
          <w:szCs w:val="20"/>
        </w:rPr>
      </w:pPr>
      <w:r w:rsidRPr="000A1FCA">
        <w:rPr>
          <w:rFonts w:ascii="黑体" w:eastAsia="黑体" w:hAnsi="黑体" w:cs="宋体" w:hint="eastAsia"/>
          <w:b/>
          <w:bCs/>
          <w:kern w:val="0"/>
          <w:sz w:val="20"/>
          <w:szCs w:val="20"/>
        </w:rPr>
        <w:t>3、南浔农商银行按照法律法规、产品说明书及其他相关约定，诚实信用、谨慎勤勉地实施投资管理行为，以专业技能管理理财产品资产，依法维护理财产品全体投资者的利益。南浔农商银行不对本产品的收益情况作出承诺或保证，亦不会承诺或保证最低收益或本金安全。南浔农商银行按照本产品说明书及其他相关规定进行投资运作，由此所产生的损失，南浔农商银行不承担相应责任。</w:t>
      </w:r>
    </w:p>
    <w:p w14:paraId="2592F525"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（四）业绩比较基准</w:t>
      </w:r>
    </w:p>
    <w:p w14:paraId="11D35DAB"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1、南浔农商银行作为本产品的管理人动态设立业绩比较基准并在南浔农商银行网站公告，投资周期的年化业绩比较基准为人民银行一年期定期存款利率加利差,以</w:t>
      </w:r>
      <w:r w:rsidRPr="000A1FCA">
        <w:rPr>
          <w:rFonts w:ascii="宋体" w:hAnsi="宋体" w:cs="宋体" w:hint="eastAsia"/>
          <w:kern w:val="0"/>
          <w:sz w:val="18"/>
          <w:szCs w:val="18"/>
        </w:rPr>
        <w:t>人民</w:t>
      </w:r>
      <w:r w:rsidRPr="000A1FCA">
        <w:rPr>
          <w:rFonts w:ascii="黑体" w:eastAsia="黑体" w:hAnsi="黑体" w:cs="宋体" w:hint="eastAsia"/>
          <w:kern w:val="0"/>
          <w:sz w:val="20"/>
          <w:szCs w:val="20"/>
        </w:rPr>
        <w:t>银行公告为准。人</w:t>
      </w:r>
      <w:r w:rsidRPr="000A1FCA">
        <w:rPr>
          <w:rFonts w:ascii="黑体" w:eastAsia="黑体" w:hAnsi="黑体" w:cs="宋体" w:hint="eastAsia"/>
          <w:kern w:val="0"/>
          <w:sz w:val="20"/>
          <w:szCs w:val="20"/>
        </w:rPr>
        <w:lastRenderedPageBreak/>
        <w:t>民银行一年期定期存款利率指产品募集期或申购期首个工作日的人民银行一年期定期存款利率，该利率不随投资周期内中国人民银行调整同期存款利率而调整。</w:t>
      </w:r>
    </w:p>
    <w:p w14:paraId="74BD18B3"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w:t>
      </w:r>
      <w:r w:rsidRPr="000A1FCA">
        <w:rPr>
          <w:rFonts w:ascii="黑体" w:eastAsia="黑体" w:hAnsi="黑体" w:cs="宋体" w:hint="eastAsia"/>
          <w:b/>
          <w:bCs/>
          <w:kern w:val="0"/>
          <w:sz w:val="20"/>
          <w:szCs w:val="20"/>
        </w:rPr>
        <w:t>业绩比较基准不代表理财产品未来表现，不等于理财产品实际收益，不作为产品收益的业绩保证，投资须谨慎</w:t>
      </w:r>
      <w:r w:rsidRPr="000A1FCA">
        <w:rPr>
          <w:rFonts w:ascii="黑体" w:eastAsia="黑体" w:hAnsi="黑体" w:cs="宋体" w:hint="eastAsia"/>
          <w:bCs/>
          <w:kern w:val="0"/>
          <w:sz w:val="20"/>
          <w:szCs w:val="20"/>
        </w:rPr>
        <w:t>。</w:t>
      </w:r>
    </w:p>
    <w:p w14:paraId="156971FB"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3、如果今后法律法规发生变化，或者有其他代表性更强、更科学客观的比较基准适用于本产品时，经产品管理人和产品托管人协商一致后，本产品可以变更比较基准并及时公告。</w:t>
      </w:r>
    </w:p>
    <w:p w14:paraId="094673D7" w14:textId="77777777" w:rsidR="00837EB6" w:rsidRPr="000A1FCA" w:rsidRDefault="00837EB6">
      <w:pPr>
        <w:widowControl/>
        <w:spacing w:line="280" w:lineRule="exact"/>
        <w:ind w:firstLineChars="200" w:firstLine="400"/>
        <w:jc w:val="left"/>
        <w:rPr>
          <w:rFonts w:ascii="黑体" w:eastAsia="黑体" w:hAnsi="黑体" w:cs="宋体"/>
          <w:kern w:val="0"/>
          <w:sz w:val="20"/>
          <w:szCs w:val="20"/>
        </w:rPr>
      </w:pPr>
    </w:p>
    <w:p w14:paraId="6ED6C7C9" w14:textId="77777777" w:rsidR="00837EB6" w:rsidRPr="000A1FCA" w:rsidRDefault="00837EB6">
      <w:pPr>
        <w:widowControl/>
        <w:spacing w:line="280" w:lineRule="exact"/>
        <w:ind w:firstLineChars="200" w:firstLine="400"/>
        <w:jc w:val="center"/>
        <w:rPr>
          <w:rFonts w:ascii="黑体" w:eastAsia="黑体" w:hAnsi="黑体" w:cs="宋体"/>
          <w:kern w:val="0"/>
          <w:sz w:val="20"/>
          <w:szCs w:val="20"/>
        </w:rPr>
      </w:pPr>
    </w:p>
    <w:p w14:paraId="40BB4B34" w14:textId="77777777" w:rsidR="00837EB6" w:rsidRPr="000A1FCA" w:rsidRDefault="00837EB6">
      <w:pPr>
        <w:widowControl/>
        <w:spacing w:line="280" w:lineRule="exact"/>
        <w:ind w:firstLineChars="200" w:firstLine="400"/>
        <w:jc w:val="center"/>
        <w:rPr>
          <w:rFonts w:ascii="黑体" w:eastAsia="黑体" w:hAnsi="黑体" w:cs="宋体"/>
          <w:kern w:val="0"/>
          <w:sz w:val="20"/>
          <w:szCs w:val="20"/>
        </w:rPr>
      </w:pPr>
    </w:p>
    <w:p w14:paraId="6C40D3FE" w14:textId="77777777" w:rsidR="00837EB6" w:rsidRPr="000A1FCA" w:rsidRDefault="00685B3C" w:rsidP="00556CC4">
      <w:pPr>
        <w:widowControl/>
        <w:spacing w:line="280" w:lineRule="exact"/>
        <w:ind w:firstLineChars="200" w:firstLine="476"/>
        <w:jc w:val="center"/>
        <w:rPr>
          <w:rFonts w:ascii="黑体" w:eastAsia="黑体" w:hAnsi="黑体" w:cs="宋体"/>
          <w:kern w:val="0"/>
          <w:sz w:val="22"/>
          <w:szCs w:val="20"/>
        </w:rPr>
      </w:pPr>
      <w:r w:rsidRPr="000A1FCA">
        <w:rPr>
          <w:rFonts w:ascii="黑体" w:eastAsia="黑体" w:hAnsi="黑体" w:cs="宋体" w:hint="eastAsia"/>
          <w:b/>
          <w:kern w:val="0"/>
          <w:sz w:val="22"/>
          <w:szCs w:val="20"/>
        </w:rPr>
        <w:t>四、理财的财产</w:t>
      </w:r>
    </w:p>
    <w:p w14:paraId="0E11A9C4"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（一）理财资产总值</w:t>
      </w:r>
    </w:p>
    <w:p w14:paraId="56AA8CA8"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理财资产总值是指购买的各类证券价值、银行存款本息和理财应收的理财申购款以及其他投资所形成的价值总和。</w:t>
      </w:r>
    </w:p>
    <w:p w14:paraId="67E2FBAB"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（二）理财资产净值</w:t>
      </w:r>
    </w:p>
    <w:p w14:paraId="09DDCBE1"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理财资产净值是指理财资产总值减去理财负债后的价值。</w:t>
      </w:r>
    </w:p>
    <w:p w14:paraId="1CE33AC7"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（三）理财财产的账户</w:t>
      </w:r>
    </w:p>
    <w:p w14:paraId="54529512"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14:paraId="7F2DB6E4"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（四）理财财产的保管和处分</w:t>
      </w:r>
    </w:p>
    <w:p w14:paraId="17CE437D"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14:paraId="5EFFD339" w14:textId="77777777" w:rsidR="00837EB6" w:rsidRPr="000A1FCA" w:rsidRDefault="00685B3C">
      <w:pPr>
        <w:widowControl/>
        <w:spacing w:line="280" w:lineRule="exact"/>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14:paraId="1757101F" w14:textId="77777777" w:rsidR="00837EB6" w:rsidRPr="000A1FCA" w:rsidRDefault="00685B3C">
      <w:pPr>
        <w:widowControl/>
        <w:spacing w:line="280" w:lineRule="exact"/>
        <w:jc w:val="left"/>
        <w:rPr>
          <w:rFonts w:ascii="黑体" w:eastAsia="黑体" w:hAnsi="黑体" w:cs="宋体"/>
          <w:kern w:val="0"/>
          <w:sz w:val="20"/>
          <w:szCs w:val="20"/>
        </w:rPr>
      </w:pPr>
      <w:r w:rsidRPr="000A1FCA">
        <w:rPr>
          <w:rFonts w:ascii="宋体" w:eastAsia="黑体" w:hAnsi="宋体" w:cs="宋体" w:hint="eastAsia"/>
          <w:kern w:val="0"/>
          <w:sz w:val="20"/>
          <w:szCs w:val="20"/>
        </w:rPr>
        <w:t> </w:t>
      </w:r>
    </w:p>
    <w:p w14:paraId="021223A5" w14:textId="77777777" w:rsidR="00837EB6" w:rsidRPr="000A1FCA" w:rsidRDefault="00685B3C">
      <w:pPr>
        <w:widowControl/>
        <w:spacing w:line="280" w:lineRule="exact"/>
        <w:jc w:val="center"/>
        <w:rPr>
          <w:rFonts w:ascii="黑体" w:eastAsia="黑体" w:hAnsi="黑体" w:cs="宋体"/>
          <w:kern w:val="0"/>
          <w:sz w:val="22"/>
          <w:szCs w:val="20"/>
        </w:rPr>
      </w:pPr>
      <w:r w:rsidRPr="000A1FCA">
        <w:rPr>
          <w:rFonts w:ascii="黑体" w:eastAsia="黑体" w:hAnsi="黑体" w:cs="宋体" w:hint="eastAsia"/>
          <w:b/>
          <w:kern w:val="0"/>
          <w:sz w:val="22"/>
          <w:szCs w:val="20"/>
        </w:rPr>
        <w:t>五、理财资产的估值</w:t>
      </w:r>
    </w:p>
    <w:p w14:paraId="0CEE352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（一）估值目的</w:t>
      </w:r>
    </w:p>
    <w:p w14:paraId="2978F1B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理财资产估值的目的是客观、准确地反映理财资产是否保值、增值。</w:t>
      </w:r>
    </w:p>
    <w:p w14:paraId="1FDD788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（二）估值日</w:t>
      </w:r>
    </w:p>
    <w:p w14:paraId="0E64833C" w14:textId="77777777" w:rsidR="00837EB6" w:rsidRPr="000A1FCA" w:rsidRDefault="00685B3C">
      <w:pPr>
        <w:widowControl/>
        <w:ind w:firstLineChars="250" w:firstLine="500"/>
        <w:jc w:val="left"/>
        <w:rPr>
          <w:rFonts w:ascii="黑体" w:eastAsia="黑体" w:hAnsi="黑体" w:cs="宋体"/>
          <w:kern w:val="0"/>
          <w:sz w:val="20"/>
          <w:szCs w:val="20"/>
        </w:rPr>
      </w:pPr>
      <w:r w:rsidRPr="000A1FCA">
        <w:rPr>
          <w:rFonts w:ascii="黑体" w:eastAsia="黑体" w:hAnsi="黑体" w:cs="宋体" w:hint="eastAsia"/>
          <w:kern w:val="0"/>
          <w:sz w:val="20"/>
          <w:szCs w:val="20"/>
        </w:rPr>
        <w:t>本产品的估值日为本产品相关的银行间市场的交易日以及需要对外披露理财净值的非交易日。本产品</w:t>
      </w:r>
      <w:r w:rsidRPr="008E0095">
        <w:rPr>
          <w:rFonts w:ascii="黑体" w:eastAsia="黑体" w:hAnsi="黑体" w:cs="宋体" w:hint="eastAsia"/>
          <w:kern w:val="0"/>
          <w:sz w:val="20"/>
          <w:szCs w:val="20"/>
        </w:rPr>
        <w:t>每个工作日</w:t>
      </w:r>
      <w:r w:rsidRPr="000A1FCA">
        <w:rPr>
          <w:rFonts w:ascii="黑体" w:eastAsia="黑体" w:hAnsi="黑体" w:cs="宋体" w:hint="eastAsia"/>
          <w:kern w:val="0"/>
          <w:sz w:val="20"/>
          <w:szCs w:val="20"/>
        </w:rPr>
        <w:t>定期公告产品份额净值</w:t>
      </w:r>
      <w:r w:rsidRPr="008E0095">
        <w:rPr>
          <w:rFonts w:ascii="黑体" w:eastAsia="黑体" w:hAnsi="黑体" w:cs="宋体" w:hint="eastAsia"/>
          <w:kern w:val="0"/>
          <w:sz w:val="20"/>
          <w:szCs w:val="20"/>
        </w:rPr>
        <w:t>。暂定估值基准日为每个工作日（T日），T日公布T-1日单位</w:t>
      </w:r>
      <w:r w:rsidRPr="000A1FCA">
        <w:rPr>
          <w:rFonts w:ascii="黑体" w:eastAsia="黑体" w:hAnsi="黑体" w:cs="宋体" w:hint="eastAsia"/>
          <w:kern w:val="0"/>
          <w:sz w:val="20"/>
          <w:szCs w:val="20"/>
        </w:rPr>
        <w:t>份额净值。</w:t>
      </w:r>
      <w:r w:rsidRPr="008E0095">
        <w:rPr>
          <w:rFonts w:ascii="黑体" w:eastAsia="黑体" w:hAnsi="黑体" w:cs="宋体" w:hint="eastAsia"/>
          <w:kern w:val="0"/>
          <w:sz w:val="20"/>
          <w:szCs w:val="20"/>
        </w:rPr>
        <w:t>T日指工作日，T+1日为T日后第一个工作日。</w:t>
      </w:r>
    </w:p>
    <w:p w14:paraId="410B3D85" w14:textId="77777777" w:rsidR="00837EB6" w:rsidRPr="000A1FCA" w:rsidRDefault="00685B3C">
      <w:pPr>
        <w:widowControl/>
        <w:ind w:firstLineChars="250" w:firstLine="500"/>
        <w:jc w:val="left"/>
        <w:rPr>
          <w:rFonts w:ascii="黑体" w:eastAsia="黑体" w:hAnsi="黑体" w:cs="宋体"/>
          <w:kern w:val="0"/>
          <w:sz w:val="20"/>
          <w:szCs w:val="20"/>
        </w:rPr>
      </w:pPr>
      <w:r w:rsidRPr="000A1FCA">
        <w:rPr>
          <w:rFonts w:ascii="黑体" w:eastAsia="黑体" w:hAnsi="黑体" w:cs="宋体" w:hint="eastAsia"/>
          <w:kern w:val="0"/>
          <w:sz w:val="20"/>
          <w:szCs w:val="20"/>
        </w:rPr>
        <w:t>（三）估值对象</w:t>
      </w:r>
    </w:p>
    <w:p w14:paraId="6743F9A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本产品所拥有的各类证券和银行存款本息、应收款项、其它投资等资产及负债。</w:t>
      </w:r>
    </w:p>
    <w:p w14:paraId="35CD9E9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（四）估值方法</w:t>
      </w:r>
    </w:p>
    <w:p w14:paraId="2C48CFCF"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本产品按以下方式进行估值：</w:t>
      </w:r>
    </w:p>
    <w:p w14:paraId="0058F558" w14:textId="77777777" w:rsidR="00837EB6" w:rsidRPr="008E0095"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1、</w:t>
      </w:r>
      <w:r w:rsidRPr="008E0095">
        <w:rPr>
          <w:rFonts w:ascii="黑体" w:eastAsia="黑体" w:hAnsi="黑体" w:cs="宋体" w:hint="eastAsia"/>
          <w:kern w:val="0"/>
          <w:sz w:val="20"/>
          <w:szCs w:val="20"/>
        </w:rPr>
        <w:t>持有的银行定期存款或协议存款以本金列示，按协议或合同利率逐日确认利息收入。</w:t>
      </w:r>
    </w:p>
    <w:p w14:paraId="6FC8ECD5"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2、投资固定收益品种的估值方法</w:t>
      </w:r>
    </w:p>
    <w:p w14:paraId="0A32AC9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同一债券同时在两个或两个以上市场交易的，按债券所处的市场分别估值。</w:t>
      </w:r>
    </w:p>
    <w:p w14:paraId="5514768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在证券交易所市场挂牌交易实行净价交易的债券按估值日收盘价估值；估值日无交易的，且最近交易日后经济环境未发生重大变化，按最近交易日的收盘价估值；如果估值日无交易，且最近交易日后经济环境发生了重大变化的，可参考监管机构和行业协会估值意见，或者参考类似投资品种的现行市价及重大变化因素，调整最近交易日收盘价，确定公允价值进行估值。</w:t>
      </w:r>
      <w:r w:rsidRPr="000A1FCA">
        <w:rPr>
          <w:rFonts w:ascii="黑体" w:eastAsia="黑体" w:hAnsi="黑体" w:cs="宋体"/>
          <w:kern w:val="0"/>
          <w:sz w:val="20"/>
          <w:szCs w:val="20"/>
        </w:rPr>
        <w:t xml:space="preserve"> </w:t>
      </w:r>
    </w:p>
    <w:p w14:paraId="0D13BFB6"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在证券交易所市场挂牌交易未实行净价交易的债券按估值日收盘价减去所含的债券应收利息得到的净价进行估值；估值日无交易的，且最近交易日后经济环境未发生重大变化，按最近交</w:t>
      </w:r>
      <w:r w:rsidRPr="000A1FCA">
        <w:rPr>
          <w:rFonts w:ascii="黑体" w:eastAsia="黑体" w:hAnsi="黑体" w:cs="宋体" w:hint="eastAsia"/>
          <w:kern w:val="0"/>
          <w:sz w:val="20"/>
          <w:szCs w:val="20"/>
        </w:rPr>
        <w:lastRenderedPageBreak/>
        <w:t>易日债券收盘价减去所含的债券应收利息得到的净价估值；如果估值日无交易，且最近交易日后经济环境发生了重大变化的，可参考监管机构和行业协会估值意见，或者类似投资品种的现行市价及重大变化因素，调整最近交易日收盘价，确定公允价值进行估值。</w:t>
      </w:r>
      <w:r w:rsidRPr="000A1FCA">
        <w:rPr>
          <w:rFonts w:ascii="黑体" w:eastAsia="黑体" w:hAnsi="黑体" w:cs="宋体"/>
          <w:kern w:val="0"/>
          <w:sz w:val="20"/>
          <w:szCs w:val="20"/>
        </w:rPr>
        <w:t xml:space="preserve"> </w:t>
      </w:r>
    </w:p>
    <w:p w14:paraId="49AE521A"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首次发行未上市债券采用估值技术确定的公允价值进行估值，在估值技术难以可靠计量公允价值的情况下，按成本估值。</w:t>
      </w:r>
    </w:p>
    <w:p w14:paraId="3F9096FF"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对于只在上交所固定收益平台或者深交所综合协议平台交易的债券，按照成本估值。</w:t>
      </w:r>
    </w:p>
    <w:p w14:paraId="28FD8F8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在对银行间市场的固定收益品种估值时，应主要依据第三方估值机构公布的公允价值估值。</w:t>
      </w:r>
    </w:p>
    <w:p w14:paraId="2277EE2F"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3、投资证券投资基金的估值方法</w:t>
      </w:r>
    </w:p>
    <w:p w14:paraId="6DF9472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持有的交易所上市基金，按估值日其所在证券交易所的收盘价估值；估值日无交易的，以最近交易日的收盘价估值；如果估值日无交易，且最近交易日后经济环境发生了重大变化的，将参考监管机构或行业协会有关规定，或者类似投资品种的现行市价及重大变化因素，调整最近交易日收盘价，确定公允价值进行估值；</w:t>
      </w:r>
      <w:r w:rsidRPr="000A1FCA">
        <w:rPr>
          <w:rFonts w:ascii="黑体" w:eastAsia="黑体" w:hAnsi="黑体" w:cs="宋体"/>
          <w:kern w:val="0"/>
          <w:sz w:val="20"/>
          <w:szCs w:val="20"/>
        </w:rPr>
        <w:t xml:space="preserve"> </w:t>
      </w:r>
    </w:p>
    <w:p w14:paraId="0F2AB6D3"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持有的场外基金，按估值日前一交易日的基金份额净值估值；估值日前一交易日基金份额净值无公布的，按此前最近交易日的基金份额净值估值；</w:t>
      </w:r>
    </w:p>
    <w:p w14:paraId="74B47D9D"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持有的货币市场基金，按基金管理公司公布的估值日前一交易日的每万份收益计提红利；</w:t>
      </w:r>
    </w:p>
    <w:p w14:paraId="4B43DC62"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持有的基金处于封闭期的，按照最新公布的份额净值估值；没有公布份额净值的，按照成本估值。</w:t>
      </w:r>
    </w:p>
    <w:p w14:paraId="056A6842" w14:textId="77777777" w:rsidR="00837EB6" w:rsidRPr="000A1FCA" w:rsidRDefault="00685B3C">
      <w:pPr>
        <w:adjustRightInd w:val="0"/>
        <w:snapToGrid w:val="0"/>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4、</w:t>
      </w:r>
      <w:r w:rsidRPr="000A1FCA">
        <w:rPr>
          <w:rFonts w:ascii="黑体" w:eastAsia="黑体" w:hAnsi="黑体" w:cs="宋体"/>
          <w:kern w:val="0"/>
          <w:sz w:val="20"/>
          <w:szCs w:val="20"/>
        </w:rPr>
        <w:t>金融产品的估值方法</w:t>
      </w:r>
    </w:p>
    <w:p w14:paraId="5E2E587C" w14:textId="77777777" w:rsidR="00837EB6" w:rsidRPr="000A1FCA" w:rsidRDefault="00685B3C">
      <w:pPr>
        <w:adjustRightInd w:val="0"/>
        <w:snapToGrid w:val="0"/>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对于有明确预期收益率的金融产品，按预期收益率在实际持有期间逐日计提收益；</w:t>
      </w:r>
    </w:p>
    <w:p w14:paraId="330562D7" w14:textId="77777777" w:rsidR="00837EB6" w:rsidRPr="000A1FCA" w:rsidRDefault="00685B3C">
      <w:pPr>
        <w:adjustRightInd w:val="0"/>
        <w:snapToGrid w:val="0"/>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公布净值的金融产品，按最新净值估值（上市交易的金融产品，托管在场内的按收盘价估值，该日无交易的，以最近一交易日的收盘价计算）；管理人需及时向托管人提供金融产品的最新净值，托管人据此进行估值；</w:t>
      </w:r>
    </w:p>
    <w:p w14:paraId="70ADAB1E"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不公布净值金融产品，按取得成本估值，对有明确预期收益率的部分，按实际持有期间逐日计提收益，对没有明确预期收益率的部分，在实际收到投资收益时确认损益。</w:t>
      </w:r>
    </w:p>
    <w:p w14:paraId="518A9602" w14:textId="77777777" w:rsidR="00837EB6" w:rsidRPr="000A1FCA" w:rsidRDefault="00685B3C">
      <w:pPr>
        <w:ind w:firstLineChars="200" w:firstLine="400"/>
        <w:rPr>
          <w:rFonts w:ascii="黑体" w:eastAsia="黑体" w:hAnsi="黑体" w:cs="宋体"/>
          <w:kern w:val="0"/>
          <w:sz w:val="20"/>
          <w:szCs w:val="20"/>
        </w:rPr>
      </w:pPr>
      <w:r w:rsidRPr="000A1FCA">
        <w:rPr>
          <w:rFonts w:ascii="黑体" w:eastAsia="黑体" w:hAnsi="黑体" w:cs="宋体" w:hint="eastAsia"/>
          <w:kern w:val="0"/>
          <w:sz w:val="20"/>
          <w:szCs w:val="20"/>
        </w:rPr>
        <w:t>5、其他资产存在并可以确定公允价值的，以公允价值计算，公允价值不能确定的按取得时</w:t>
      </w:r>
      <w:r w:rsidRPr="000A1FCA">
        <w:rPr>
          <w:rFonts w:ascii="黑体" w:eastAsia="黑体" w:hAnsi="黑体" w:hint="eastAsia"/>
          <w:bCs/>
          <w:kern w:val="0"/>
          <w:sz w:val="20"/>
          <w:szCs w:val="20"/>
        </w:rPr>
        <w:t>的成本按摊余成本法计算。</w:t>
      </w:r>
    </w:p>
    <w:p w14:paraId="4CA9AB29" w14:textId="77777777" w:rsidR="00837EB6" w:rsidRPr="000A1FCA" w:rsidRDefault="00685B3C">
      <w:pPr>
        <w:widowControl/>
        <w:ind w:firstLineChars="200" w:firstLine="360"/>
        <w:jc w:val="left"/>
        <w:rPr>
          <w:rFonts w:ascii="黑体" w:eastAsia="黑体" w:hAnsi="黑体" w:cs="宋体"/>
          <w:kern w:val="0"/>
          <w:sz w:val="20"/>
          <w:szCs w:val="20"/>
        </w:rPr>
      </w:pPr>
      <w:r w:rsidRPr="000A1FCA">
        <w:rPr>
          <w:rFonts w:ascii="宋体" w:hAnsi="宋体" w:cs="宋体" w:hint="eastAsia"/>
          <w:bCs/>
          <w:kern w:val="0"/>
          <w:sz w:val="18"/>
          <w:szCs w:val="18"/>
        </w:rPr>
        <w:t>6</w:t>
      </w:r>
      <w:r w:rsidRPr="000A1FCA">
        <w:rPr>
          <w:rFonts w:ascii="黑体" w:eastAsia="黑体" w:hAnsi="黑体" w:cs="宋体" w:hint="eastAsia"/>
          <w:bCs/>
          <w:kern w:val="0"/>
          <w:sz w:val="20"/>
          <w:szCs w:val="20"/>
        </w:rPr>
        <w:t>、如有确凿证据表明按上述方法进行估</w:t>
      </w:r>
      <w:r w:rsidRPr="000A1FCA">
        <w:rPr>
          <w:rFonts w:ascii="黑体" w:eastAsia="黑体" w:hAnsi="黑体" w:cs="宋体" w:hint="eastAsia"/>
          <w:kern w:val="0"/>
          <w:sz w:val="20"/>
          <w:szCs w:val="20"/>
        </w:rPr>
        <w:t>值不能客观反映其公允价值的，产品管理人可根据具体情况与产品托管人商定后，按最能反映公允价值的价格估值。</w:t>
      </w:r>
    </w:p>
    <w:p w14:paraId="241814F8" w14:textId="77777777" w:rsidR="00837EB6" w:rsidRPr="000A1FCA" w:rsidRDefault="00685B3C">
      <w:pPr>
        <w:widowControl/>
        <w:ind w:firstLineChars="200" w:firstLine="360"/>
        <w:jc w:val="left"/>
        <w:rPr>
          <w:rFonts w:ascii="黑体" w:eastAsia="黑体" w:hAnsi="黑体" w:cs="宋体"/>
          <w:kern w:val="0"/>
          <w:sz w:val="20"/>
          <w:szCs w:val="20"/>
        </w:rPr>
      </w:pPr>
      <w:r w:rsidRPr="000A1FCA">
        <w:rPr>
          <w:rFonts w:ascii="宋体" w:hAnsi="宋体" w:cs="宋体" w:hint="eastAsia"/>
          <w:kern w:val="0"/>
          <w:sz w:val="18"/>
          <w:szCs w:val="18"/>
        </w:rPr>
        <w:t>7</w:t>
      </w:r>
      <w:r w:rsidRPr="000A1FCA">
        <w:rPr>
          <w:rFonts w:ascii="黑体" w:eastAsia="黑体" w:hAnsi="黑体" w:cs="宋体" w:hint="eastAsia"/>
          <w:kern w:val="0"/>
          <w:sz w:val="20"/>
          <w:szCs w:val="20"/>
        </w:rPr>
        <w:t>、</w:t>
      </w:r>
      <w:r w:rsidRPr="000A1FCA">
        <w:rPr>
          <w:rFonts w:ascii="黑体" w:eastAsia="黑体" w:hAnsi="黑体" w:cs="宋体" w:hint="eastAsia"/>
          <w:b/>
          <w:kern w:val="0"/>
          <w:sz w:val="20"/>
          <w:szCs w:val="20"/>
        </w:rPr>
        <w:t>相关法律法规以及监管部门有强制规定的，从其规定。如有新增事项，按国家最新规定估值。</w:t>
      </w:r>
    </w:p>
    <w:p w14:paraId="4AE9361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如产品管理人或产品托管人发现理财估值违反本说明书约定的估值方法、程序及相关法律法规的规定或者未能充分维护理财份额持有人权益时，应立即通知对方，共同查明原因，双方协商解决。</w:t>
      </w:r>
    </w:p>
    <w:p w14:paraId="6FCD4C46"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14:paraId="31F4088D" w14:textId="77777777" w:rsidR="00837EB6" w:rsidRPr="000A1FCA" w:rsidRDefault="00685B3C">
      <w:pPr>
        <w:widowControl/>
        <w:ind w:firstLineChars="200" w:firstLine="360"/>
        <w:jc w:val="left"/>
        <w:rPr>
          <w:rFonts w:ascii="黑体" w:eastAsia="黑体" w:hAnsi="黑体" w:cs="宋体"/>
          <w:kern w:val="0"/>
          <w:sz w:val="20"/>
          <w:szCs w:val="20"/>
        </w:rPr>
      </w:pPr>
      <w:r w:rsidRPr="000A1FCA">
        <w:rPr>
          <w:rFonts w:ascii="宋体" w:hAnsi="宋体" w:cs="宋体" w:hint="eastAsia"/>
          <w:bCs/>
          <w:kern w:val="0"/>
          <w:sz w:val="18"/>
          <w:szCs w:val="18"/>
        </w:rPr>
        <w:t>8</w:t>
      </w:r>
      <w:r w:rsidRPr="000A1FCA">
        <w:rPr>
          <w:rFonts w:ascii="黑体" w:eastAsia="黑体" w:hAnsi="黑体" w:cs="宋体" w:hint="eastAsia"/>
          <w:bCs/>
          <w:kern w:val="0"/>
          <w:sz w:val="20"/>
          <w:szCs w:val="20"/>
        </w:rPr>
        <w:t>、如估值方法发生变更，</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将至少提前一个工作日通过其各营业网点或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网站发布变更公告。</w:t>
      </w:r>
    </w:p>
    <w:p w14:paraId="79F8CB15"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（四）估值程序</w:t>
      </w:r>
    </w:p>
    <w:p w14:paraId="5893D7DE"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1、产品份额净值是按照估值日产品资产净值除以当日产品总份额计算。国家另有规定的，从其规定。</w:t>
      </w:r>
    </w:p>
    <w:p w14:paraId="3ACD4793"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产品管理人每个工作日计算产品资产净值及产品份额净值，并按规定每日进行公告。</w:t>
      </w:r>
    </w:p>
    <w:p w14:paraId="703FA9C4"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2、产品管理人对理财资产估值后，将理财资产净值结果发送产品托管人，经产品托管人复核无误后，由产品管理人按规定对外公布。</w:t>
      </w:r>
    </w:p>
    <w:p w14:paraId="5560BC76" w14:textId="77777777" w:rsidR="00837EB6" w:rsidRPr="000A1FCA" w:rsidRDefault="00685B3C">
      <w:pPr>
        <w:widowControl/>
        <w:spacing w:line="280" w:lineRule="exact"/>
        <w:jc w:val="center"/>
        <w:rPr>
          <w:rFonts w:ascii="黑体" w:eastAsia="黑体" w:hAnsi="黑体" w:cs="宋体"/>
          <w:b/>
          <w:kern w:val="0"/>
          <w:sz w:val="22"/>
          <w:szCs w:val="20"/>
        </w:rPr>
      </w:pPr>
      <w:r w:rsidRPr="000A1FCA">
        <w:rPr>
          <w:rFonts w:ascii="黑体" w:eastAsia="黑体" w:hAnsi="黑体" w:cs="宋体" w:hint="eastAsia"/>
          <w:b/>
          <w:kern w:val="0"/>
          <w:sz w:val="22"/>
          <w:szCs w:val="20"/>
        </w:rPr>
        <w:lastRenderedPageBreak/>
        <w:t>六、理财的收益与分配</w:t>
      </w:r>
    </w:p>
    <w:p w14:paraId="7B2AE93C"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（一）理财利润的构成</w:t>
      </w:r>
    </w:p>
    <w:p w14:paraId="384291FE"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理财利润指理财利息收入、投资收益、公允价值变动收益和其他收入扣除相关费用后的余额；理财已实现收益指理财利润减去公允价值变动损益后的余额。</w:t>
      </w:r>
    </w:p>
    <w:p w14:paraId="6CE7860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（二）收益分配原则</w:t>
      </w:r>
    </w:p>
    <w:p w14:paraId="090DA2B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kern w:val="0"/>
          <w:sz w:val="20"/>
          <w:szCs w:val="20"/>
        </w:rPr>
        <w:t>1</w:t>
      </w:r>
      <w:r w:rsidRPr="000A1FCA">
        <w:rPr>
          <w:rFonts w:ascii="黑体" w:eastAsia="黑体" w:hAnsi="黑体" w:cs="宋体" w:hint="eastAsia"/>
          <w:kern w:val="0"/>
          <w:sz w:val="20"/>
          <w:szCs w:val="20"/>
        </w:rPr>
        <w:t>、本产品在投资期间不进行收益分配，采用累计净值计算投资者理财资金的投资情况。投资者投资收益取决于本产品份额净值，份额净值随投资收益变化而变化。投资者只有在赎回时，对应赎回部分的本金及收益（如有）才会同时划转至投资者账。</w:t>
      </w:r>
    </w:p>
    <w:p w14:paraId="6B274CB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2、在不违反法律法规、理财产品协议约定以及对份额持有人权益无实质性不利影响的情况下，南浔农商银行可调整本产品收益的分配原则和支付方式。法律法规或监管机构另有规定的从其规定。</w:t>
      </w:r>
    </w:p>
    <w:p w14:paraId="5DB728AD" w14:textId="77777777" w:rsidR="00837EB6" w:rsidRPr="000A1FCA" w:rsidRDefault="00685B3C">
      <w:pPr>
        <w:widowControl/>
        <w:ind w:firstLine="360"/>
        <w:jc w:val="left"/>
        <w:rPr>
          <w:rFonts w:ascii="黑体" w:eastAsia="黑体" w:hAnsi="黑体" w:cs="宋体"/>
          <w:kern w:val="0"/>
          <w:sz w:val="20"/>
          <w:szCs w:val="20"/>
        </w:rPr>
      </w:pPr>
      <w:r w:rsidRPr="000A1FCA">
        <w:rPr>
          <w:rFonts w:ascii="黑体" w:eastAsia="黑体" w:hAnsi="黑体" w:cs="宋体" w:hint="eastAsia"/>
          <w:kern w:val="0"/>
          <w:sz w:val="20"/>
          <w:szCs w:val="20"/>
        </w:rPr>
        <w:t>（三）理财收益支付</w:t>
      </w:r>
    </w:p>
    <w:p w14:paraId="56A05C2C" w14:textId="77777777" w:rsidR="00837EB6" w:rsidRPr="000A1FCA" w:rsidRDefault="00685B3C">
      <w:pPr>
        <w:widowControl/>
        <w:adjustRightInd w:val="0"/>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投资者赎回部分的理财收益分配登记日为赎回确认日，于理财收益分配登记日后1个工作日内支付理财收益（如有）。</w:t>
      </w:r>
      <w:r w:rsidRPr="000A1FCA">
        <w:rPr>
          <w:rFonts w:ascii="黑体" w:eastAsia="黑体" w:hAnsi="黑体" w:cs="宋体" w:hint="eastAsia"/>
          <w:bCs/>
          <w:kern w:val="0"/>
          <w:sz w:val="20"/>
          <w:szCs w:val="20"/>
        </w:rPr>
        <w:t>如发生需要延后分配的特殊情况，</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将通过各营业网点或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网站以公告的形式将延后分配的情况进行公告。</w:t>
      </w:r>
    </w:p>
    <w:p w14:paraId="60FCF054" w14:textId="77777777" w:rsidR="00837EB6" w:rsidRPr="000A1FCA" w:rsidRDefault="00685B3C">
      <w:pPr>
        <w:widowControl/>
        <w:spacing w:line="280" w:lineRule="exact"/>
        <w:jc w:val="center"/>
        <w:rPr>
          <w:rFonts w:ascii="黑体" w:eastAsia="黑体" w:hAnsi="黑体" w:cs="宋体"/>
          <w:b/>
          <w:kern w:val="0"/>
          <w:sz w:val="22"/>
          <w:szCs w:val="20"/>
        </w:rPr>
      </w:pPr>
      <w:r w:rsidRPr="000A1FCA">
        <w:rPr>
          <w:rFonts w:ascii="黑体" w:eastAsia="黑体" w:hAnsi="黑体" w:cs="宋体" w:hint="eastAsia"/>
          <w:b/>
          <w:kern w:val="0"/>
          <w:sz w:val="22"/>
          <w:szCs w:val="20"/>
        </w:rPr>
        <w:t>七、理财费用与税收</w:t>
      </w:r>
    </w:p>
    <w:p w14:paraId="629CB96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（一）费用的种类</w:t>
      </w:r>
    </w:p>
    <w:p w14:paraId="3180A98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1、产品管理人的投资管理费及超额业绩报酬；</w:t>
      </w:r>
    </w:p>
    <w:p w14:paraId="2FF4CACE"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2、产品托管人的托管费及估值外包服务费；</w:t>
      </w:r>
    </w:p>
    <w:p w14:paraId="5D15191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3、产品管理人的销售服务费；</w:t>
      </w:r>
    </w:p>
    <w:p w14:paraId="0D70D33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4、理财产品的证券交易费用等相关费用。</w:t>
      </w:r>
    </w:p>
    <w:p w14:paraId="3C64880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（二）理财产品费用计提方法、计提标准和支付方式</w:t>
      </w:r>
    </w:p>
    <w:p w14:paraId="77C254B8" w14:textId="77777777" w:rsidR="00837EB6" w:rsidRPr="000A1FCA" w:rsidRDefault="00685B3C">
      <w:pPr>
        <w:widowControl/>
        <w:tabs>
          <w:tab w:val="left" w:pos="0"/>
          <w:tab w:val="left" w:pos="3600"/>
        </w:tabs>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1、产品管理人的投资管理费及超额业绩报酬</w:t>
      </w:r>
    </w:p>
    <w:p w14:paraId="7539062F" w14:textId="77777777" w:rsidR="00837EB6" w:rsidRPr="000A1FCA" w:rsidRDefault="00685B3C">
      <w:pPr>
        <w:widowControl/>
        <w:tabs>
          <w:tab w:val="left" w:pos="0"/>
          <w:tab w:val="left" w:pos="3600"/>
        </w:tabs>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不收取投资管理费；若投资资产组合净值扣除销售服务费、产品托管费和投资管理费等相关费用后，赎回日产品份额净值达不到比较基准，则南浔农商银行可减免当期部分或全部投资管理费，由此造成赎回日产品份额净值调整的，以调整后的产品份额净值为准进行收益分配和赎回兑付；若赎回日产品份额净值超过比较基准，则南浔农商银行收取超出部分的100%作为超额业绩报酬，由此造成赎回日产品份额净值调整的，以调整后的产品份额净值为准进行收益分配和赎回兑付。</w:t>
      </w:r>
    </w:p>
    <w:p w14:paraId="27AF3648" w14:textId="77777777" w:rsidR="00837EB6" w:rsidRPr="000A1FCA" w:rsidRDefault="00685B3C">
      <w:pPr>
        <w:widowControl/>
        <w:tabs>
          <w:tab w:val="left" w:pos="0"/>
          <w:tab w:val="left" w:pos="3600"/>
        </w:tabs>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2、产品托管人的托管费及估值外包服务费</w:t>
      </w:r>
    </w:p>
    <w:p w14:paraId="07C22FB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本产品的托管费按前一日产品资产净值的0.015%的年费率计提</w:t>
      </w:r>
      <w:r w:rsidRPr="000A1FCA">
        <w:rPr>
          <w:rFonts w:ascii="宋体" w:hAnsi="宋体" w:cs="宋体" w:hint="eastAsia"/>
          <w:kern w:val="0"/>
          <w:sz w:val="18"/>
          <w:szCs w:val="18"/>
        </w:rPr>
        <w:t>，按季收取</w:t>
      </w:r>
      <w:r w:rsidRPr="000A1FCA">
        <w:rPr>
          <w:rFonts w:ascii="黑体" w:eastAsia="黑体" w:hAnsi="黑体" w:cs="宋体" w:hint="eastAsia"/>
          <w:kern w:val="0"/>
          <w:sz w:val="20"/>
          <w:szCs w:val="20"/>
        </w:rPr>
        <w:t>。托管费的计算方法如下：</w:t>
      </w:r>
    </w:p>
    <w:p w14:paraId="3FAD44D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H＝E×</w:t>
      </w:r>
      <w:r w:rsidRPr="00054750">
        <w:rPr>
          <w:rFonts w:ascii="黑体" w:eastAsia="黑体" w:hAnsi="黑体" w:cs="宋体" w:hint="eastAsia"/>
          <w:kern w:val="0"/>
          <w:sz w:val="20"/>
          <w:szCs w:val="20"/>
        </w:rPr>
        <w:t>托管费率</w:t>
      </w:r>
      <w:r w:rsidRPr="000A1FCA">
        <w:rPr>
          <w:rFonts w:ascii="黑体" w:eastAsia="黑体" w:hAnsi="黑体" w:cs="宋体" w:hint="eastAsia"/>
          <w:kern w:val="0"/>
          <w:sz w:val="20"/>
          <w:szCs w:val="20"/>
        </w:rPr>
        <w:t>÷当年天数</w:t>
      </w:r>
    </w:p>
    <w:p w14:paraId="7537B3C4"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H为每日应计提的产品托管费</w:t>
      </w:r>
    </w:p>
    <w:p w14:paraId="74F84C1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E为前一日的产品资产净值</w:t>
      </w:r>
    </w:p>
    <w:p w14:paraId="748C82D8" w14:textId="77777777" w:rsidR="00837EB6" w:rsidRPr="000A1FCA" w:rsidRDefault="00685B3C" w:rsidP="00054750">
      <w:pPr>
        <w:widowControl/>
        <w:ind w:firstLineChars="200" w:firstLine="400"/>
        <w:jc w:val="left"/>
        <w:rPr>
          <w:rFonts w:ascii="黑体" w:eastAsia="黑体" w:hAnsi="黑体" w:cs="宋体"/>
          <w:kern w:val="0"/>
          <w:sz w:val="20"/>
          <w:szCs w:val="20"/>
        </w:rPr>
      </w:pPr>
      <w:r w:rsidRPr="00054750">
        <w:rPr>
          <w:rFonts w:ascii="黑体" w:eastAsia="黑体" w:hAnsi="黑体" w:cs="宋体" w:hint="eastAsia"/>
          <w:kern w:val="0"/>
          <w:sz w:val="20"/>
          <w:szCs w:val="20"/>
        </w:rPr>
        <w:t>本产品不收取估值外包服务费。</w:t>
      </w:r>
    </w:p>
    <w:p w14:paraId="4D848CF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3、销售服务费</w:t>
      </w:r>
    </w:p>
    <w:p w14:paraId="71216467" w14:textId="77777777" w:rsidR="00837EB6" w:rsidRPr="000A1FCA" w:rsidRDefault="00685B3C">
      <w:pPr>
        <w:widowControl/>
        <w:adjustRightInd w:val="0"/>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本产品不收取销售服务费。</w:t>
      </w:r>
    </w:p>
    <w:p w14:paraId="2915C0DA"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南浔农商银行有权从理财财产中直接扣除投资管理费、超额业绩报酬、产品托管费以及销售服务费等相关</w:t>
      </w:r>
      <w:r w:rsidRPr="000A1FCA">
        <w:rPr>
          <w:rFonts w:ascii="黑体" w:eastAsia="黑体" w:hAnsi="黑体" w:cs="宋体" w:hint="eastAsia"/>
          <w:bCs/>
          <w:kern w:val="0"/>
          <w:sz w:val="20"/>
          <w:szCs w:val="20"/>
        </w:rPr>
        <w:t>费用</w:t>
      </w:r>
      <w:r w:rsidRPr="000A1FCA">
        <w:rPr>
          <w:rFonts w:ascii="黑体" w:eastAsia="黑体" w:hAnsi="黑体" w:cs="宋体" w:hint="eastAsia"/>
          <w:kern w:val="0"/>
          <w:sz w:val="20"/>
          <w:szCs w:val="20"/>
        </w:rPr>
        <w:t>。</w:t>
      </w:r>
    </w:p>
    <w:p w14:paraId="4294215E" w14:textId="77777777" w:rsidR="00837EB6" w:rsidRPr="000A1FCA" w:rsidRDefault="00685B3C">
      <w:pPr>
        <w:widowControl/>
        <w:adjustRightInd w:val="0"/>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上述理财产品的证券交易费用等相关费用，按费用实际支出金额列入当期费用，从理财财产中支付。</w:t>
      </w:r>
    </w:p>
    <w:p w14:paraId="47D0F98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（三）产品投资管理费、超额业绩报酬、产品托管费、产品估值外包服务费和销售服务费的调整</w:t>
      </w:r>
    </w:p>
    <w:p w14:paraId="370081FC"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lastRenderedPageBreak/>
        <w:t>南浔农商银行有权根据相关法律和国家政策规定，对理财产品管理费用的收费项目、条件、标准和方式等进行调整。</w:t>
      </w:r>
      <w:r w:rsidRPr="000A1FCA">
        <w:rPr>
          <w:rFonts w:ascii="黑体" w:eastAsia="黑体" w:hAnsi="黑体" w:cs="宋体" w:hint="eastAsia"/>
          <w:bCs/>
          <w:kern w:val="0"/>
          <w:sz w:val="20"/>
          <w:szCs w:val="20"/>
        </w:rPr>
        <w:t>投资者有权不接受变更，并在本投资周期结束时以赎回的方式退出，如投资者选择继续持有本产品，则视同其认可</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所做的变更。</w:t>
      </w:r>
    </w:p>
    <w:p w14:paraId="29877C43"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kern w:val="0"/>
          <w:sz w:val="20"/>
          <w:szCs w:val="20"/>
        </w:rPr>
        <w:t>（四）税务事项</w:t>
      </w:r>
    </w:p>
    <w:p w14:paraId="4DB6D667" w14:textId="77777777" w:rsidR="00837EB6" w:rsidRPr="000A1FCA" w:rsidRDefault="00685B3C">
      <w:pPr>
        <w:widowControl/>
        <w:adjustRightInd w:val="0"/>
        <w:snapToGrid w:val="0"/>
        <w:ind w:firstLineChars="200" w:firstLine="400"/>
        <w:jc w:val="left"/>
        <w:rPr>
          <w:rFonts w:ascii="黑体" w:eastAsia="黑体" w:hAnsi="黑体" w:cs="宋体"/>
          <w:kern w:val="0"/>
          <w:sz w:val="20"/>
          <w:szCs w:val="20"/>
        </w:rPr>
      </w:pPr>
      <w:r w:rsidRPr="000A1FCA">
        <w:rPr>
          <w:rFonts w:ascii="黑体" w:eastAsia="黑体" w:hAnsi="黑体" w:cs="仿宋_GB2312" w:hint="eastAsia"/>
          <w:kern w:val="0"/>
          <w:sz w:val="20"/>
          <w:szCs w:val="20"/>
        </w:rPr>
        <w:t>本产品运作过程中涉及的各纳税主体的纳税义务按国家税收法律、法规执行。除法律法规特别要求外，投资者应缴纳的税收由投资者负责，</w:t>
      </w:r>
      <w:r w:rsidRPr="000A1FCA">
        <w:rPr>
          <w:rFonts w:ascii="黑体" w:eastAsia="黑体" w:hAnsi="黑体" w:cs="宋体" w:hint="eastAsia"/>
          <w:kern w:val="0"/>
          <w:sz w:val="20"/>
          <w:szCs w:val="20"/>
        </w:rPr>
        <w:t>南浔农商银行</w:t>
      </w:r>
      <w:r w:rsidRPr="000A1FCA">
        <w:rPr>
          <w:rFonts w:ascii="黑体" w:eastAsia="黑体" w:hAnsi="黑体" w:cs="仿宋_GB2312" w:hint="eastAsia"/>
          <w:kern w:val="0"/>
          <w:sz w:val="20"/>
          <w:szCs w:val="20"/>
        </w:rPr>
        <w:t>不承担代扣代缴或纳税的义务。理财产品运营过程中发生的增值税应税行为，由理财产品承担增值税及附加税费，该等税款直接从理财产品账户中扣付，由</w:t>
      </w:r>
      <w:r w:rsidRPr="000A1FCA">
        <w:rPr>
          <w:rFonts w:ascii="黑体" w:eastAsia="黑体" w:hAnsi="黑体" w:cs="宋体" w:hint="eastAsia"/>
          <w:kern w:val="0"/>
          <w:sz w:val="20"/>
          <w:szCs w:val="20"/>
        </w:rPr>
        <w:t>南浔农商银行</w:t>
      </w:r>
      <w:r w:rsidRPr="000A1FCA">
        <w:rPr>
          <w:rFonts w:ascii="黑体" w:eastAsia="黑体" w:hAnsi="黑体" w:cs="仿宋_GB2312" w:hint="eastAsia"/>
          <w:kern w:val="0"/>
          <w:sz w:val="20"/>
          <w:szCs w:val="20"/>
        </w:rPr>
        <w:t>进行申报和缴纳。</w:t>
      </w:r>
    </w:p>
    <w:p w14:paraId="7A4C12DE" w14:textId="77777777" w:rsidR="00837EB6" w:rsidRPr="000A1FCA" w:rsidRDefault="00685B3C">
      <w:pPr>
        <w:widowControl/>
        <w:spacing w:line="280" w:lineRule="exact"/>
        <w:jc w:val="center"/>
        <w:rPr>
          <w:rFonts w:ascii="黑体" w:eastAsia="黑体" w:hAnsi="黑体" w:cs="宋体"/>
          <w:kern w:val="0"/>
          <w:sz w:val="22"/>
          <w:szCs w:val="20"/>
        </w:rPr>
      </w:pPr>
      <w:r w:rsidRPr="000A1FCA">
        <w:rPr>
          <w:rFonts w:ascii="黑体" w:eastAsia="黑体" w:hAnsi="黑体" w:cs="宋体" w:hint="eastAsia"/>
          <w:b/>
          <w:kern w:val="0"/>
          <w:sz w:val="22"/>
          <w:szCs w:val="20"/>
        </w:rPr>
        <w:t>八、理财产品的提前终止</w:t>
      </w:r>
    </w:p>
    <w:p w14:paraId="537CCC9A" w14:textId="77777777" w:rsidR="00837EB6" w:rsidRPr="000A1FCA" w:rsidRDefault="00685B3C">
      <w:pPr>
        <w:widowControl/>
        <w:spacing w:line="280" w:lineRule="exact"/>
        <w:jc w:val="center"/>
        <w:rPr>
          <w:rFonts w:ascii="黑体" w:eastAsia="黑体" w:hAnsi="黑体" w:cs="宋体"/>
          <w:b/>
          <w:kern w:val="0"/>
          <w:sz w:val="22"/>
          <w:szCs w:val="20"/>
        </w:rPr>
      </w:pPr>
      <w:r w:rsidRPr="000A1FCA">
        <w:rPr>
          <w:rFonts w:ascii="黑体" w:eastAsia="黑体" w:hAnsi="黑体" w:cs="宋体" w:hint="eastAsia"/>
          <w:b/>
          <w:kern w:val="0"/>
          <w:sz w:val="22"/>
          <w:szCs w:val="20"/>
        </w:rPr>
        <w:t> </w:t>
      </w:r>
    </w:p>
    <w:p w14:paraId="75C216D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在理财产品投资运作期间内，</w:t>
      </w:r>
      <w:r w:rsidRPr="000A1FCA">
        <w:rPr>
          <w:rFonts w:ascii="黑体" w:eastAsia="黑体" w:hAnsi="黑体" w:cs="宋体" w:hint="eastAsia"/>
          <w:b/>
          <w:bCs/>
          <w:kern w:val="0"/>
          <w:sz w:val="20"/>
          <w:szCs w:val="20"/>
        </w:rPr>
        <w:t>投资者无权要求提前终止该理财产品</w:t>
      </w:r>
      <w:r w:rsidRPr="000A1FCA">
        <w:rPr>
          <w:rFonts w:ascii="黑体" w:eastAsia="黑体" w:hAnsi="黑体" w:cs="宋体" w:hint="eastAsia"/>
          <w:bCs/>
          <w:kern w:val="0"/>
          <w:sz w:val="20"/>
          <w:szCs w:val="20"/>
        </w:rPr>
        <w:t>。当出现下列情形之一时，银行有权部分或全部终止本产品：</w:t>
      </w:r>
    </w:p>
    <w:p w14:paraId="31F25F3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1、因不可抗力原因导致理财产品无法继续运作。</w:t>
      </w:r>
    </w:p>
    <w:p w14:paraId="3A3A99A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2、遇有市场出现剧烈波动、异常风险事件等情形导致理财产品收益出现大幅波动或严重影响理财产品的资产安全。</w:t>
      </w:r>
    </w:p>
    <w:p w14:paraId="7525F7CE"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3、因投资者理财资金被有权机关扣划等原因导致理财产品剩余资产无法满足相关法律法规规定、所投资市场要求或协议等相关法律文件约定，或者继续存续无法实现投资目标。</w:t>
      </w:r>
    </w:p>
    <w:p w14:paraId="4CA08D0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4、因相关投资管理机构解散、破产、撤销、被取消业务资格等原因无法继续履行相应职责导致产品无法继续运作。</w:t>
      </w:r>
    </w:p>
    <w:p w14:paraId="464E19E2"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5、相关投资管理机构或运用理财资金的第三方主体实施符合法律法规规定或协议等相关文件约定的行为导致理财产品被动提前终止。</w:t>
      </w:r>
    </w:p>
    <w:p w14:paraId="3D43C79F"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6、因法律法规变化或国家金融政策调整、紧急措施出台影响产品继续正常运作。</w:t>
      </w:r>
    </w:p>
    <w:p w14:paraId="6C4DF467"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7、提前终止产品比维持产品运作更有利于保护产品持有人的权益。</w:t>
      </w:r>
    </w:p>
    <w:p w14:paraId="05A604DD"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8、法律法规规定或监管部门认定的其他情形。</w:t>
      </w:r>
    </w:p>
    <w:p w14:paraId="4D15460F"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如果</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提前终止本产品，</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将提前一个工作日通过</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网站公布提前终止日并指定资金支付日（一般为提前终止日之后的三个工作日以内）。</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应将投资者理财资金于指定的资金支付日（遇银行节假日顺延）内划转至投资者指定账户。提前终止日（含当日）至资金实际支付日之间，投资者资金不计息。</w:t>
      </w:r>
    </w:p>
    <w:p w14:paraId="442D9AFF" w14:textId="77777777" w:rsidR="00837EB6" w:rsidRPr="000A1FCA" w:rsidRDefault="00685B3C">
      <w:pPr>
        <w:widowControl/>
        <w:spacing w:line="280" w:lineRule="exact"/>
        <w:jc w:val="center"/>
        <w:rPr>
          <w:rFonts w:ascii="黑体" w:eastAsia="黑体" w:hAnsi="黑体" w:cs="宋体"/>
          <w:kern w:val="0"/>
          <w:sz w:val="22"/>
          <w:szCs w:val="20"/>
        </w:rPr>
      </w:pPr>
      <w:r w:rsidRPr="000A1FCA">
        <w:rPr>
          <w:rFonts w:ascii="黑体" w:eastAsia="黑体" w:hAnsi="黑体" w:cs="宋体" w:hint="eastAsia"/>
          <w:b/>
          <w:kern w:val="0"/>
          <w:sz w:val="22"/>
          <w:szCs w:val="20"/>
        </w:rPr>
        <w:t>九、信息披露</w:t>
      </w:r>
    </w:p>
    <w:p w14:paraId="249FF18B" w14:textId="77777777" w:rsidR="00837EB6" w:rsidRPr="000A1FCA" w:rsidRDefault="00685B3C">
      <w:pPr>
        <w:widowControl/>
        <w:spacing w:line="280" w:lineRule="exact"/>
        <w:rPr>
          <w:rFonts w:ascii="黑体" w:eastAsia="黑体" w:hAnsi="黑体" w:cs="宋体"/>
          <w:kern w:val="0"/>
          <w:sz w:val="20"/>
          <w:szCs w:val="20"/>
        </w:rPr>
      </w:pPr>
      <w:r w:rsidRPr="000A1FCA">
        <w:rPr>
          <w:rFonts w:ascii="宋体" w:eastAsia="黑体" w:hAnsi="宋体" w:cs="宋体" w:hint="eastAsia"/>
          <w:b/>
          <w:kern w:val="0"/>
          <w:sz w:val="20"/>
          <w:szCs w:val="20"/>
        </w:rPr>
        <w:t> </w:t>
      </w:r>
    </w:p>
    <w:p w14:paraId="2702313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1、</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将通过其各营业网点或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等信息渠道发布本产品的相关信息，包括但不限于产品成立、产品终止、募集信息、产品份额净值、暂停申购或赎回、投资对象和比例、杠杆水平、收益分配、托管安排、投资账户信息、主要投资风险、估值方法变更、收费标准变更等信息。该等披露，视为银行已向投资者完全履行信息披露义务。投资者承诺将及时接收、浏览和阅读该等信息。如投资者对本产品的运作状况有任何疑问，可到银行营业网点进行咨询。</w:t>
      </w:r>
    </w:p>
    <w:p w14:paraId="1A271560"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2、</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在申购确认日/赎回确认日披露开放日公告，公告内容包括确认使用的产品份额净值、比较基准（如有）等；每个工作日披露的内容包括估值日的产品份额净值、产品份额累计净值、比较基准（如有）等。如遇法定节假日，则顺延至法定节假日后的第一个工作日公布最新产品份额净值。</w:t>
      </w:r>
    </w:p>
    <w:p w14:paraId="686BCA2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3、本产品成立后五个工作日内，</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将在各营业网点或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网站发布产品成立报告。</w:t>
      </w:r>
    </w:p>
    <w:p w14:paraId="0A3748E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4、银行根据监管规定定期披露相关报告。</w:t>
      </w:r>
    </w:p>
    <w:p w14:paraId="05F4C719"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5、产品存续期间如发生可能对理财产品投资者或者理财产品收益产生重大影响的事件，</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应在两个工作日内发布重大事项公告。</w:t>
      </w:r>
    </w:p>
    <w:p w14:paraId="1A86C341"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lastRenderedPageBreak/>
        <w:t>6、</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对比较基准、投资范围和比例、估值方法以及收费项目、条件、标准和方式等保留变更的权利，如发生变更，调整后的要素以</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通过其各营业网点或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网站发布的变更公告中所载明的内容为准。</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将至少提前一个工作日通过其各营业网点或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网站发布变更公告。投资者有权不接受变更，并在本投资周期结束时以赎回的方式退出，如投资者选择继续持有本产品，则视同其认可</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所做的变更。</w:t>
      </w:r>
    </w:p>
    <w:p w14:paraId="3EFD5ECB"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7、在发生</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拒绝或暂停接受投资者认购/申购申请、暂停接受投资者赎回申请或延缓支付赎回款项、巨额赎回等情形时，</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将于三个工作日内通过</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网站或相关营业网点发布相关信息及处理措施。</w:t>
      </w:r>
    </w:p>
    <w:p w14:paraId="192A64D8" w14:textId="77777777" w:rsidR="00837EB6" w:rsidRPr="000A1FCA" w:rsidRDefault="00685B3C">
      <w:pPr>
        <w:widowControl/>
        <w:ind w:firstLineChars="200" w:firstLine="400"/>
        <w:jc w:val="left"/>
        <w:rPr>
          <w:rFonts w:ascii="黑体" w:eastAsia="黑体" w:hAnsi="黑体" w:cs="宋体"/>
          <w:kern w:val="0"/>
          <w:sz w:val="20"/>
          <w:szCs w:val="20"/>
        </w:rPr>
      </w:pPr>
      <w:r w:rsidRPr="000A1FCA">
        <w:rPr>
          <w:rFonts w:ascii="黑体" w:eastAsia="黑体" w:hAnsi="黑体" w:cs="宋体" w:hint="eastAsia"/>
          <w:bCs/>
          <w:kern w:val="0"/>
          <w:sz w:val="20"/>
          <w:szCs w:val="20"/>
        </w:rPr>
        <w:t>8、如果</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提前终止本产品，</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将提前一个工作日通过</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各营业网点或</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网站进行公告。本产品终止后五个工作日内，</w:t>
      </w:r>
      <w:r w:rsidRPr="000A1FCA">
        <w:rPr>
          <w:rFonts w:ascii="黑体" w:eastAsia="黑体" w:hAnsi="黑体" w:cs="宋体" w:hint="eastAsia"/>
          <w:kern w:val="0"/>
          <w:sz w:val="20"/>
          <w:szCs w:val="20"/>
        </w:rPr>
        <w:t>南浔农商银行</w:t>
      </w:r>
      <w:r w:rsidRPr="000A1FCA">
        <w:rPr>
          <w:rFonts w:ascii="黑体" w:eastAsia="黑体" w:hAnsi="黑体" w:cs="宋体" w:hint="eastAsia"/>
          <w:bCs/>
          <w:kern w:val="0"/>
          <w:sz w:val="20"/>
          <w:szCs w:val="20"/>
        </w:rPr>
        <w:t>将在网站或相关营业网点发布产品到期报告。</w:t>
      </w:r>
    </w:p>
    <w:p w14:paraId="0A6B76CF" w14:textId="77777777" w:rsidR="00837EB6" w:rsidRPr="000A1FCA" w:rsidRDefault="00685B3C" w:rsidP="00556CC4">
      <w:pPr>
        <w:widowControl/>
        <w:ind w:firstLineChars="200" w:firstLine="433"/>
        <w:jc w:val="left"/>
        <w:rPr>
          <w:rFonts w:ascii="黑体" w:eastAsia="黑体" w:hAnsi="黑体" w:cs="宋体"/>
          <w:kern w:val="0"/>
          <w:sz w:val="20"/>
          <w:szCs w:val="20"/>
        </w:rPr>
      </w:pPr>
      <w:r w:rsidRPr="000A1FCA">
        <w:rPr>
          <w:rFonts w:ascii="黑体" w:eastAsia="黑体" w:hAnsi="黑体" w:cs="宋体" w:hint="eastAsia"/>
          <w:b/>
          <w:bCs/>
          <w:kern w:val="0"/>
          <w:sz w:val="20"/>
          <w:szCs w:val="20"/>
        </w:rPr>
        <w:t>9、在本产品存续期内，如因国家法律法规、监管规定发生变化，或是出于维护本产品正常运营的需要，在不损害投资者权益的前提下，</w:t>
      </w:r>
      <w:r w:rsidRPr="000A1FCA">
        <w:rPr>
          <w:rFonts w:ascii="黑体" w:eastAsia="黑体" w:hAnsi="黑体" w:cs="宋体" w:hint="eastAsia"/>
          <w:kern w:val="0"/>
          <w:sz w:val="20"/>
          <w:szCs w:val="20"/>
        </w:rPr>
        <w:t>南浔农商银行</w:t>
      </w:r>
      <w:r w:rsidRPr="000A1FCA">
        <w:rPr>
          <w:rFonts w:ascii="黑体" w:eastAsia="黑体" w:hAnsi="黑体" w:cs="宋体" w:hint="eastAsia"/>
          <w:b/>
          <w:bCs/>
          <w:kern w:val="0"/>
          <w:sz w:val="20"/>
          <w:szCs w:val="20"/>
        </w:rPr>
        <w:t>有权对本产品协议书、产品说明书以及相关文件进行修订，并提前三个工作日在</w:t>
      </w:r>
      <w:r w:rsidRPr="000A1FCA">
        <w:rPr>
          <w:rFonts w:ascii="黑体" w:eastAsia="黑体" w:hAnsi="黑体" w:cs="宋体" w:hint="eastAsia"/>
          <w:kern w:val="0"/>
          <w:sz w:val="20"/>
          <w:szCs w:val="20"/>
        </w:rPr>
        <w:t>南浔农商银行</w:t>
      </w:r>
      <w:r w:rsidRPr="000A1FCA">
        <w:rPr>
          <w:rFonts w:ascii="黑体" w:eastAsia="黑体" w:hAnsi="黑体" w:cs="宋体" w:hint="eastAsia"/>
          <w:b/>
          <w:bCs/>
          <w:kern w:val="0"/>
          <w:sz w:val="20"/>
          <w:szCs w:val="20"/>
        </w:rPr>
        <w:t>网站或相关营业网点进行信息披露。</w:t>
      </w:r>
      <w:r w:rsidRPr="000A1FCA">
        <w:rPr>
          <w:rFonts w:ascii="黑体" w:eastAsia="黑体" w:hAnsi="黑体" w:cs="宋体" w:hint="eastAsia"/>
          <w:bCs/>
          <w:kern w:val="0"/>
          <w:sz w:val="20"/>
          <w:szCs w:val="20"/>
        </w:rPr>
        <w:t>投资者有权不接受变更，并在本投资周期结束时以赎回的方式退出，投资者未选择赎回本产品，视为已理解并接受修订后的产品协议书、产品说明书以及相关文件。</w:t>
      </w:r>
    </w:p>
    <w:p w14:paraId="57B9897D" w14:textId="77777777" w:rsidR="00837EB6" w:rsidRPr="000A1FCA" w:rsidRDefault="00685B3C">
      <w:pPr>
        <w:widowControl/>
        <w:rPr>
          <w:rFonts w:ascii="黑体" w:eastAsia="黑体" w:hAnsi="黑体" w:cs="宋体"/>
          <w:kern w:val="0"/>
          <w:sz w:val="20"/>
          <w:szCs w:val="20"/>
        </w:rPr>
      </w:pPr>
      <w:r w:rsidRPr="000A1FCA">
        <w:rPr>
          <w:rFonts w:ascii="黑体" w:eastAsia="黑体" w:hAnsi="黑体" w:cs="宋体" w:hint="eastAsia"/>
          <w:b/>
          <w:bCs/>
          <w:kern w:val="0"/>
          <w:sz w:val="20"/>
          <w:szCs w:val="20"/>
        </w:rPr>
        <w:t>投资者签章：　　　　　　　　　　　　　　       浙江南浔农村商业银行股份有限公司：</w:t>
      </w:r>
    </w:p>
    <w:p w14:paraId="03DC5349" w14:textId="77777777" w:rsidR="00837EB6" w:rsidRPr="000A1FCA" w:rsidRDefault="00685B3C">
      <w:pPr>
        <w:widowControl/>
        <w:ind w:leftChars="200" w:left="820" w:hangingChars="200" w:hanging="400"/>
        <w:jc w:val="left"/>
        <w:rPr>
          <w:rFonts w:ascii="黑体" w:eastAsia="黑体" w:hAnsi="黑体" w:cs="宋体"/>
          <w:kern w:val="0"/>
          <w:sz w:val="20"/>
          <w:szCs w:val="20"/>
        </w:rPr>
      </w:pPr>
      <w:r w:rsidRPr="000A1FCA">
        <w:rPr>
          <w:rFonts w:ascii="宋体" w:eastAsia="黑体" w:hAnsi="宋体" w:cs="宋体" w:hint="eastAsia"/>
          <w:bCs/>
          <w:kern w:val="0"/>
          <w:sz w:val="20"/>
          <w:szCs w:val="20"/>
        </w:rPr>
        <w:t> </w:t>
      </w:r>
    </w:p>
    <w:p w14:paraId="3673C6F3" w14:textId="77777777" w:rsidR="00837EB6" w:rsidRDefault="00685B3C">
      <w:pPr>
        <w:widowControl/>
        <w:jc w:val="left"/>
        <w:rPr>
          <w:rFonts w:ascii="黑体" w:eastAsia="黑体" w:hAnsi="黑体"/>
          <w:sz w:val="20"/>
          <w:szCs w:val="20"/>
        </w:rPr>
      </w:pPr>
      <w:r w:rsidRPr="000A1FCA">
        <w:rPr>
          <w:rFonts w:ascii="黑体" w:eastAsia="黑体" w:hAnsi="黑体" w:cs="宋体" w:hint="eastAsia"/>
          <w:b/>
          <w:bCs/>
          <w:kern w:val="0"/>
          <w:sz w:val="20"/>
          <w:szCs w:val="20"/>
        </w:rPr>
        <w:t>年    月    日                                 年    月    日</w:t>
      </w:r>
    </w:p>
    <w:sectPr w:rsidR="00837EB6" w:rsidSect="00DD6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20A35" w14:textId="77777777" w:rsidR="000A318E" w:rsidRDefault="000A318E" w:rsidP="00556CC4">
      <w:r>
        <w:separator/>
      </w:r>
    </w:p>
  </w:endnote>
  <w:endnote w:type="continuationSeparator" w:id="0">
    <w:p w14:paraId="7C8C755D" w14:textId="77777777" w:rsidR="000A318E" w:rsidRDefault="000A318E" w:rsidP="0055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_GB2312">
    <w:altName w:val="宋体"/>
    <w:panose1 w:val="00000000000000000000"/>
    <w:charset w:val="50"/>
    <w:family w:val="roman"/>
    <w:notTrueType/>
    <w:pitch w:val="default"/>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4314C" w14:textId="77777777" w:rsidR="000A318E" w:rsidRDefault="000A318E" w:rsidP="00556CC4">
      <w:r>
        <w:separator/>
      </w:r>
    </w:p>
  </w:footnote>
  <w:footnote w:type="continuationSeparator" w:id="0">
    <w:p w14:paraId="6F1B7FA1" w14:textId="77777777" w:rsidR="000A318E" w:rsidRDefault="000A318E" w:rsidP="0055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1EB4"/>
    <w:rsid w:val="00002B0F"/>
    <w:rsid w:val="000137B3"/>
    <w:rsid w:val="00014D3D"/>
    <w:rsid w:val="00032E64"/>
    <w:rsid w:val="0003375B"/>
    <w:rsid w:val="000348AA"/>
    <w:rsid w:val="00034F6E"/>
    <w:rsid w:val="00046A58"/>
    <w:rsid w:val="00054750"/>
    <w:rsid w:val="00063ECF"/>
    <w:rsid w:val="000741A5"/>
    <w:rsid w:val="00077151"/>
    <w:rsid w:val="000848DA"/>
    <w:rsid w:val="00095DD0"/>
    <w:rsid w:val="00096123"/>
    <w:rsid w:val="000A1FCA"/>
    <w:rsid w:val="000A318E"/>
    <w:rsid w:val="000C0043"/>
    <w:rsid w:val="000C505B"/>
    <w:rsid w:val="000D0501"/>
    <w:rsid w:val="000D2AE4"/>
    <w:rsid w:val="000E056B"/>
    <w:rsid w:val="000E1B5F"/>
    <w:rsid w:val="000E1B73"/>
    <w:rsid w:val="000F1334"/>
    <w:rsid w:val="000F2971"/>
    <w:rsid w:val="000F59E9"/>
    <w:rsid w:val="00107619"/>
    <w:rsid w:val="00111D4F"/>
    <w:rsid w:val="00115FEF"/>
    <w:rsid w:val="001176D4"/>
    <w:rsid w:val="00120C3D"/>
    <w:rsid w:val="00121DC1"/>
    <w:rsid w:val="00125A05"/>
    <w:rsid w:val="001313D3"/>
    <w:rsid w:val="0013450E"/>
    <w:rsid w:val="001422C5"/>
    <w:rsid w:val="00145A66"/>
    <w:rsid w:val="00152EA2"/>
    <w:rsid w:val="001532EA"/>
    <w:rsid w:val="00164078"/>
    <w:rsid w:val="00181A89"/>
    <w:rsid w:val="00182456"/>
    <w:rsid w:val="001845F7"/>
    <w:rsid w:val="00186DFC"/>
    <w:rsid w:val="0019370E"/>
    <w:rsid w:val="001A2452"/>
    <w:rsid w:val="001C34D0"/>
    <w:rsid w:val="001D1F51"/>
    <w:rsid w:val="001D485A"/>
    <w:rsid w:val="001E23E8"/>
    <w:rsid w:val="001F2519"/>
    <w:rsid w:val="00220673"/>
    <w:rsid w:val="00220EF7"/>
    <w:rsid w:val="00222357"/>
    <w:rsid w:val="0022335C"/>
    <w:rsid w:val="0023186E"/>
    <w:rsid w:val="00233B03"/>
    <w:rsid w:val="0024130B"/>
    <w:rsid w:val="00250989"/>
    <w:rsid w:val="00254C4E"/>
    <w:rsid w:val="00256E7B"/>
    <w:rsid w:val="00262E66"/>
    <w:rsid w:val="0026467F"/>
    <w:rsid w:val="0026475F"/>
    <w:rsid w:val="002769D5"/>
    <w:rsid w:val="00281929"/>
    <w:rsid w:val="0028792A"/>
    <w:rsid w:val="00291589"/>
    <w:rsid w:val="002B1ABE"/>
    <w:rsid w:val="002B7526"/>
    <w:rsid w:val="002C0264"/>
    <w:rsid w:val="002C0646"/>
    <w:rsid w:val="002C16FE"/>
    <w:rsid w:val="002C1D0F"/>
    <w:rsid w:val="002C690B"/>
    <w:rsid w:val="002D0303"/>
    <w:rsid w:val="002D655D"/>
    <w:rsid w:val="002E1916"/>
    <w:rsid w:val="002E704D"/>
    <w:rsid w:val="002F466D"/>
    <w:rsid w:val="00306401"/>
    <w:rsid w:val="003128E2"/>
    <w:rsid w:val="003225D4"/>
    <w:rsid w:val="00323B84"/>
    <w:rsid w:val="003257A7"/>
    <w:rsid w:val="003272CC"/>
    <w:rsid w:val="00330841"/>
    <w:rsid w:val="0033206A"/>
    <w:rsid w:val="00332A84"/>
    <w:rsid w:val="00334C61"/>
    <w:rsid w:val="0033763D"/>
    <w:rsid w:val="00350175"/>
    <w:rsid w:val="0035235B"/>
    <w:rsid w:val="0036409E"/>
    <w:rsid w:val="00367422"/>
    <w:rsid w:val="00371140"/>
    <w:rsid w:val="003747E0"/>
    <w:rsid w:val="00381400"/>
    <w:rsid w:val="00381D0E"/>
    <w:rsid w:val="00381EB4"/>
    <w:rsid w:val="00382694"/>
    <w:rsid w:val="0038348D"/>
    <w:rsid w:val="00390AE7"/>
    <w:rsid w:val="00390E19"/>
    <w:rsid w:val="00395964"/>
    <w:rsid w:val="00395F9A"/>
    <w:rsid w:val="00397267"/>
    <w:rsid w:val="003B1362"/>
    <w:rsid w:val="003B7810"/>
    <w:rsid w:val="003B7B39"/>
    <w:rsid w:val="003C0D79"/>
    <w:rsid w:val="003C17F4"/>
    <w:rsid w:val="003C5149"/>
    <w:rsid w:val="003D2159"/>
    <w:rsid w:val="003D7EFF"/>
    <w:rsid w:val="003E0D29"/>
    <w:rsid w:val="003E4C6A"/>
    <w:rsid w:val="003F2312"/>
    <w:rsid w:val="003F76E8"/>
    <w:rsid w:val="0040027F"/>
    <w:rsid w:val="004010C2"/>
    <w:rsid w:val="00412B40"/>
    <w:rsid w:val="00414DEB"/>
    <w:rsid w:val="004230C7"/>
    <w:rsid w:val="00427B46"/>
    <w:rsid w:val="00432413"/>
    <w:rsid w:val="00435AC2"/>
    <w:rsid w:val="00451076"/>
    <w:rsid w:val="0045302A"/>
    <w:rsid w:val="0045387F"/>
    <w:rsid w:val="00453AF2"/>
    <w:rsid w:val="00455DA4"/>
    <w:rsid w:val="00455E02"/>
    <w:rsid w:val="004641B9"/>
    <w:rsid w:val="00464F3D"/>
    <w:rsid w:val="0046753E"/>
    <w:rsid w:val="0049465C"/>
    <w:rsid w:val="0049612F"/>
    <w:rsid w:val="004962B4"/>
    <w:rsid w:val="004A2ABD"/>
    <w:rsid w:val="004A3C70"/>
    <w:rsid w:val="004A4E33"/>
    <w:rsid w:val="004B5E8E"/>
    <w:rsid w:val="004C293B"/>
    <w:rsid w:val="004C49B4"/>
    <w:rsid w:val="004C500B"/>
    <w:rsid w:val="004C56BD"/>
    <w:rsid w:val="004D0E19"/>
    <w:rsid w:val="004D1210"/>
    <w:rsid w:val="004D35B9"/>
    <w:rsid w:val="004E105F"/>
    <w:rsid w:val="004E13E5"/>
    <w:rsid w:val="004E289B"/>
    <w:rsid w:val="004E7347"/>
    <w:rsid w:val="004F2FE6"/>
    <w:rsid w:val="00510059"/>
    <w:rsid w:val="00515761"/>
    <w:rsid w:val="00515E70"/>
    <w:rsid w:val="005176CC"/>
    <w:rsid w:val="005274F0"/>
    <w:rsid w:val="00527709"/>
    <w:rsid w:val="00527973"/>
    <w:rsid w:val="005403EA"/>
    <w:rsid w:val="00544125"/>
    <w:rsid w:val="00550B97"/>
    <w:rsid w:val="00556CC4"/>
    <w:rsid w:val="0056748C"/>
    <w:rsid w:val="00567F87"/>
    <w:rsid w:val="00583F33"/>
    <w:rsid w:val="00584F76"/>
    <w:rsid w:val="005868BD"/>
    <w:rsid w:val="005878A0"/>
    <w:rsid w:val="00590C37"/>
    <w:rsid w:val="00593C6E"/>
    <w:rsid w:val="00596CE0"/>
    <w:rsid w:val="005975B0"/>
    <w:rsid w:val="005A137D"/>
    <w:rsid w:val="005B0E03"/>
    <w:rsid w:val="005B1A2C"/>
    <w:rsid w:val="005C248F"/>
    <w:rsid w:val="005C4372"/>
    <w:rsid w:val="005C726B"/>
    <w:rsid w:val="005D20A2"/>
    <w:rsid w:val="005E321B"/>
    <w:rsid w:val="005E5042"/>
    <w:rsid w:val="005F0C40"/>
    <w:rsid w:val="00600BD4"/>
    <w:rsid w:val="006030A9"/>
    <w:rsid w:val="0061120E"/>
    <w:rsid w:val="00611A09"/>
    <w:rsid w:val="0061547C"/>
    <w:rsid w:val="0062758D"/>
    <w:rsid w:val="006331DD"/>
    <w:rsid w:val="006341FB"/>
    <w:rsid w:val="006355D0"/>
    <w:rsid w:val="006362A3"/>
    <w:rsid w:val="00645DE6"/>
    <w:rsid w:val="006461AD"/>
    <w:rsid w:val="00650984"/>
    <w:rsid w:val="00650F83"/>
    <w:rsid w:val="00657E63"/>
    <w:rsid w:val="006628C3"/>
    <w:rsid w:val="006639DB"/>
    <w:rsid w:val="00665252"/>
    <w:rsid w:val="00666199"/>
    <w:rsid w:val="00667ADE"/>
    <w:rsid w:val="006717AF"/>
    <w:rsid w:val="00676C63"/>
    <w:rsid w:val="00681032"/>
    <w:rsid w:val="00685B3C"/>
    <w:rsid w:val="00694BF9"/>
    <w:rsid w:val="00697C43"/>
    <w:rsid w:val="006A385D"/>
    <w:rsid w:val="006A5004"/>
    <w:rsid w:val="006B0FCC"/>
    <w:rsid w:val="006C1E94"/>
    <w:rsid w:val="006C2DFC"/>
    <w:rsid w:val="006D090A"/>
    <w:rsid w:val="006D3AF2"/>
    <w:rsid w:val="006E1132"/>
    <w:rsid w:val="006E237F"/>
    <w:rsid w:val="006E3C1E"/>
    <w:rsid w:val="006E7648"/>
    <w:rsid w:val="006F4E96"/>
    <w:rsid w:val="006F5CC5"/>
    <w:rsid w:val="006F7C90"/>
    <w:rsid w:val="00720201"/>
    <w:rsid w:val="00733823"/>
    <w:rsid w:val="00735C20"/>
    <w:rsid w:val="00742954"/>
    <w:rsid w:val="00744558"/>
    <w:rsid w:val="007446A5"/>
    <w:rsid w:val="007452E4"/>
    <w:rsid w:val="00745CE8"/>
    <w:rsid w:val="007562D3"/>
    <w:rsid w:val="0078109D"/>
    <w:rsid w:val="0078515A"/>
    <w:rsid w:val="007943E7"/>
    <w:rsid w:val="007A2FF5"/>
    <w:rsid w:val="007A4A7F"/>
    <w:rsid w:val="007A6C6B"/>
    <w:rsid w:val="007B25FC"/>
    <w:rsid w:val="007B29F2"/>
    <w:rsid w:val="007C0711"/>
    <w:rsid w:val="007C59CA"/>
    <w:rsid w:val="007E1AAF"/>
    <w:rsid w:val="007E23DB"/>
    <w:rsid w:val="007F7465"/>
    <w:rsid w:val="00811DB1"/>
    <w:rsid w:val="00815CF0"/>
    <w:rsid w:val="00821DA8"/>
    <w:rsid w:val="00827CEA"/>
    <w:rsid w:val="008335F7"/>
    <w:rsid w:val="00837EB6"/>
    <w:rsid w:val="00842977"/>
    <w:rsid w:val="00854A4E"/>
    <w:rsid w:val="00855B5D"/>
    <w:rsid w:val="00873627"/>
    <w:rsid w:val="008777D6"/>
    <w:rsid w:val="00886491"/>
    <w:rsid w:val="00887E12"/>
    <w:rsid w:val="00890E52"/>
    <w:rsid w:val="00893CC4"/>
    <w:rsid w:val="00894D57"/>
    <w:rsid w:val="00896878"/>
    <w:rsid w:val="00896AEC"/>
    <w:rsid w:val="008C0943"/>
    <w:rsid w:val="008C3A67"/>
    <w:rsid w:val="008C5CD0"/>
    <w:rsid w:val="008C66D1"/>
    <w:rsid w:val="008C70BB"/>
    <w:rsid w:val="008E0095"/>
    <w:rsid w:val="008E29C1"/>
    <w:rsid w:val="008E5580"/>
    <w:rsid w:val="008E755C"/>
    <w:rsid w:val="008F1CF8"/>
    <w:rsid w:val="008F6E03"/>
    <w:rsid w:val="00901091"/>
    <w:rsid w:val="009062DE"/>
    <w:rsid w:val="00906EF0"/>
    <w:rsid w:val="0090737A"/>
    <w:rsid w:val="0091042F"/>
    <w:rsid w:val="00916F68"/>
    <w:rsid w:val="00920231"/>
    <w:rsid w:val="009204A5"/>
    <w:rsid w:val="00921F5F"/>
    <w:rsid w:val="009248E7"/>
    <w:rsid w:val="00930FB6"/>
    <w:rsid w:val="00931C57"/>
    <w:rsid w:val="00935FD5"/>
    <w:rsid w:val="00936F0E"/>
    <w:rsid w:val="00950851"/>
    <w:rsid w:val="00950AF3"/>
    <w:rsid w:val="00950D52"/>
    <w:rsid w:val="00951E56"/>
    <w:rsid w:val="00963F73"/>
    <w:rsid w:val="00967BC9"/>
    <w:rsid w:val="00975CA5"/>
    <w:rsid w:val="00981A38"/>
    <w:rsid w:val="009840C5"/>
    <w:rsid w:val="00987296"/>
    <w:rsid w:val="009875ED"/>
    <w:rsid w:val="009A04B4"/>
    <w:rsid w:val="009A504A"/>
    <w:rsid w:val="009A6084"/>
    <w:rsid w:val="009B0F43"/>
    <w:rsid w:val="009B1A7A"/>
    <w:rsid w:val="009B4097"/>
    <w:rsid w:val="009D2EC9"/>
    <w:rsid w:val="009E0D4D"/>
    <w:rsid w:val="009E7CA6"/>
    <w:rsid w:val="009F1827"/>
    <w:rsid w:val="009F46E0"/>
    <w:rsid w:val="009F50C2"/>
    <w:rsid w:val="009F798D"/>
    <w:rsid w:val="00A006BD"/>
    <w:rsid w:val="00A04741"/>
    <w:rsid w:val="00A07A57"/>
    <w:rsid w:val="00A120FE"/>
    <w:rsid w:val="00A1526C"/>
    <w:rsid w:val="00A15A8A"/>
    <w:rsid w:val="00A164E5"/>
    <w:rsid w:val="00A16AA2"/>
    <w:rsid w:val="00A20BC8"/>
    <w:rsid w:val="00A3212D"/>
    <w:rsid w:val="00A35720"/>
    <w:rsid w:val="00A413EF"/>
    <w:rsid w:val="00A4147B"/>
    <w:rsid w:val="00A42486"/>
    <w:rsid w:val="00A533DD"/>
    <w:rsid w:val="00A540B9"/>
    <w:rsid w:val="00A7446E"/>
    <w:rsid w:val="00A771DE"/>
    <w:rsid w:val="00A87903"/>
    <w:rsid w:val="00A9318A"/>
    <w:rsid w:val="00A950E9"/>
    <w:rsid w:val="00A95AA3"/>
    <w:rsid w:val="00A96124"/>
    <w:rsid w:val="00A96A48"/>
    <w:rsid w:val="00AA0D33"/>
    <w:rsid w:val="00AB09B4"/>
    <w:rsid w:val="00AC16A8"/>
    <w:rsid w:val="00AD3FBC"/>
    <w:rsid w:val="00AE28F2"/>
    <w:rsid w:val="00AE4AFC"/>
    <w:rsid w:val="00B01A47"/>
    <w:rsid w:val="00B01A89"/>
    <w:rsid w:val="00B10CC8"/>
    <w:rsid w:val="00B24C22"/>
    <w:rsid w:val="00B3290B"/>
    <w:rsid w:val="00B33999"/>
    <w:rsid w:val="00B35263"/>
    <w:rsid w:val="00B35EF0"/>
    <w:rsid w:val="00B36B94"/>
    <w:rsid w:val="00B40F10"/>
    <w:rsid w:val="00B42F8A"/>
    <w:rsid w:val="00B4483C"/>
    <w:rsid w:val="00B560C6"/>
    <w:rsid w:val="00B7159A"/>
    <w:rsid w:val="00B72078"/>
    <w:rsid w:val="00B74C23"/>
    <w:rsid w:val="00B75DE1"/>
    <w:rsid w:val="00B77351"/>
    <w:rsid w:val="00B80399"/>
    <w:rsid w:val="00B83F30"/>
    <w:rsid w:val="00B93F74"/>
    <w:rsid w:val="00B957A7"/>
    <w:rsid w:val="00BA15E5"/>
    <w:rsid w:val="00BA2363"/>
    <w:rsid w:val="00BC0607"/>
    <w:rsid w:val="00BC7EB6"/>
    <w:rsid w:val="00BD6901"/>
    <w:rsid w:val="00BE53BB"/>
    <w:rsid w:val="00BE7309"/>
    <w:rsid w:val="00BF0DC7"/>
    <w:rsid w:val="00BF125D"/>
    <w:rsid w:val="00BF3358"/>
    <w:rsid w:val="00BF7D40"/>
    <w:rsid w:val="00C03596"/>
    <w:rsid w:val="00C077E5"/>
    <w:rsid w:val="00C11574"/>
    <w:rsid w:val="00C12A25"/>
    <w:rsid w:val="00C1506D"/>
    <w:rsid w:val="00C156B0"/>
    <w:rsid w:val="00C202BE"/>
    <w:rsid w:val="00C26C3A"/>
    <w:rsid w:val="00C42401"/>
    <w:rsid w:val="00C61D11"/>
    <w:rsid w:val="00C701FE"/>
    <w:rsid w:val="00C73FFE"/>
    <w:rsid w:val="00C7432B"/>
    <w:rsid w:val="00C8428D"/>
    <w:rsid w:val="00C86600"/>
    <w:rsid w:val="00C8740D"/>
    <w:rsid w:val="00CA0FDC"/>
    <w:rsid w:val="00CA1227"/>
    <w:rsid w:val="00CA5C2D"/>
    <w:rsid w:val="00CB21A1"/>
    <w:rsid w:val="00CC47B3"/>
    <w:rsid w:val="00CC7316"/>
    <w:rsid w:val="00CD0406"/>
    <w:rsid w:val="00CD3A9B"/>
    <w:rsid w:val="00CE1D43"/>
    <w:rsid w:val="00D07236"/>
    <w:rsid w:val="00D07E85"/>
    <w:rsid w:val="00D13CFA"/>
    <w:rsid w:val="00D14D7A"/>
    <w:rsid w:val="00D301DD"/>
    <w:rsid w:val="00D30513"/>
    <w:rsid w:val="00D3436D"/>
    <w:rsid w:val="00D43C15"/>
    <w:rsid w:val="00D44D0F"/>
    <w:rsid w:val="00D57D3A"/>
    <w:rsid w:val="00D61A47"/>
    <w:rsid w:val="00D64F56"/>
    <w:rsid w:val="00D6573D"/>
    <w:rsid w:val="00D65984"/>
    <w:rsid w:val="00D7309B"/>
    <w:rsid w:val="00D75055"/>
    <w:rsid w:val="00D76D6B"/>
    <w:rsid w:val="00D77039"/>
    <w:rsid w:val="00D80845"/>
    <w:rsid w:val="00D83EC2"/>
    <w:rsid w:val="00D95C62"/>
    <w:rsid w:val="00D96174"/>
    <w:rsid w:val="00DA3041"/>
    <w:rsid w:val="00DB4813"/>
    <w:rsid w:val="00DB5DB6"/>
    <w:rsid w:val="00DC6643"/>
    <w:rsid w:val="00DD1C68"/>
    <w:rsid w:val="00DD3914"/>
    <w:rsid w:val="00DD6B46"/>
    <w:rsid w:val="00DE3ED7"/>
    <w:rsid w:val="00DE6CF7"/>
    <w:rsid w:val="00DF46DA"/>
    <w:rsid w:val="00DF647D"/>
    <w:rsid w:val="00E0729D"/>
    <w:rsid w:val="00E15FDE"/>
    <w:rsid w:val="00E20FA6"/>
    <w:rsid w:val="00E222B4"/>
    <w:rsid w:val="00E22F79"/>
    <w:rsid w:val="00E23D6F"/>
    <w:rsid w:val="00E24160"/>
    <w:rsid w:val="00E452FA"/>
    <w:rsid w:val="00E55163"/>
    <w:rsid w:val="00E72C6D"/>
    <w:rsid w:val="00E7424B"/>
    <w:rsid w:val="00E742ED"/>
    <w:rsid w:val="00E81826"/>
    <w:rsid w:val="00E828DA"/>
    <w:rsid w:val="00E84749"/>
    <w:rsid w:val="00E9000F"/>
    <w:rsid w:val="00E923DC"/>
    <w:rsid w:val="00E92EBB"/>
    <w:rsid w:val="00E965BC"/>
    <w:rsid w:val="00EA2770"/>
    <w:rsid w:val="00EB57A0"/>
    <w:rsid w:val="00EC0BFA"/>
    <w:rsid w:val="00EC550B"/>
    <w:rsid w:val="00EC6F8E"/>
    <w:rsid w:val="00EC7A63"/>
    <w:rsid w:val="00ED042B"/>
    <w:rsid w:val="00ED0DFE"/>
    <w:rsid w:val="00ED3D33"/>
    <w:rsid w:val="00EE166E"/>
    <w:rsid w:val="00EE2F1B"/>
    <w:rsid w:val="00EE534A"/>
    <w:rsid w:val="00EE670B"/>
    <w:rsid w:val="00F03F49"/>
    <w:rsid w:val="00F06CEE"/>
    <w:rsid w:val="00F06F92"/>
    <w:rsid w:val="00F10BCF"/>
    <w:rsid w:val="00F14880"/>
    <w:rsid w:val="00F24D22"/>
    <w:rsid w:val="00F34972"/>
    <w:rsid w:val="00F37ACF"/>
    <w:rsid w:val="00F37D52"/>
    <w:rsid w:val="00F441B2"/>
    <w:rsid w:val="00F60D4E"/>
    <w:rsid w:val="00F64E17"/>
    <w:rsid w:val="00F7223C"/>
    <w:rsid w:val="00F72ED3"/>
    <w:rsid w:val="00F857AC"/>
    <w:rsid w:val="00F97D28"/>
    <w:rsid w:val="00FA0863"/>
    <w:rsid w:val="00FA1545"/>
    <w:rsid w:val="00FA2B04"/>
    <w:rsid w:val="00FA4D7A"/>
    <w:rsid w:val="00FB4934"/>
    <w:rsid w:val="00FC19A1"/>
    <w:rsid w:val="00FC6D30"/>
    <w:rsid w:val="00FD0C2A"/>
    <w:rsid w:val="00FD49A4"/>
    <w:rsid w:val="00FD4E0E"/>
    <w:rsid w:val="00FD7FDD"/>
    <w:rsid w:val="00FE185D"/>
    <w:rsid w:val="00FE750F"/>
    <w:rsid w:val="00FE79B1"/>
    <w:rsid w:val="00FF323B"/>
    <w:rsid w:val="00FF3A72"/>
    <w:rsid w:val="03A961A4"/>
    <w:rsid w:val="12BB3301"/>
    <w:rsid w:val="1B2D2887"/>
    <w:rsid w:val="1F5311D9"/>
    <w:rsid w:val="23FB5D25"/>
    <w:rsid w:val="2D8E5259"/>
    <w:rsid w:val="2F62009D"/>
    <w:rsid w:val="35A32203"/>
    <w:rsid w:val="36635C73"/>
    <w:rsid w:val="37B115AC"/>
    <w:rsid w:val="3942379C"/>
    <w:rsid w:val="396F0EED"/>
    <w:rsid w:val="3C5737E4"/>
    <w:rsid w:val="412E15FF"/>
    <w:rsid w:val="423866CE"/>
    <w:rsid w:val="45462843"/>
    <w:rsid w:val="463A5BCF"/>
    <w:rsid w:val="58EB0BB1"/>
    <w:rsid w:val="6055352A"/>
    <w:rsid w:val="65ED2388"/>
    <w:rsid w:val="6DF5589E"/>
    <w:rsid w:val="7274112F"/>
    <w:rsid w:val="77F76913"/>
    <w:rsid w:val="7872736B"/>
    <w:rsid w:val="7C1E586C"/>
    <w:rsid w:val="7CA6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9CB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4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DD6B46"/>
    <w:pPr>
      <w:jc w:val="left"/>
    </w:pPr>
  </w:style>
  <w:style w:type="paragraph" w:styleId="a4">
    <w:name w:val="Balloon Text"/>
    <w:basedOn w:val="a"/>
    <w:link w:val="a5"/>
    <w:uiPriority w:val="99"/>
    <w:semiHidden/>
    <w:unhideWhenUsed/>
    <w:rsid w:val="00DD6B46"/>
    <w:rPr>
      <w:sz w:val="18"/>
      <w:szCs w:val="18"/>
    </w:rPr>
  </w:style>
  <w:style w:type="paragraph" w:styleId="a6">
    <w:name w:val="footer"/>
    <w:basedOn w:val="a"/>
    <w:link w:val="a7"/>
    <w:uiPriority w:val="99"/>
    <w:semiHidden/>
    <w:unhideWhenUsed/>
    <w:qFormat/>
    <w:rsid w:val="00DD6B46"/>
    <w:pPr>
      <w:tabs>
        <w:tab w:val="center" w:pos="4153"/>
        <w:tab w:val="right" w:pos="8306"/>
      </w:tabs>
      <w:snapToGrid w:val="0"/>
      <w:jc w:val="left"/>
    </w:pPr>
    <w:rPr>
      <w:sz w:val="18"/>
      <w:szCs w:val="18"/>
    </w:rPr>
  </w:style>
  <w:style w:type="paragraph" w:styleId="a8">
    <w:name w:val="header"/>
    <w:basedOn w:val="a"/>
    <w:link w:val="a9"/>
    <w:uiPriority w:val="99"/>
    <w:semiHidden/>
    <w:unhideWhenUsed/>
    <w:qFormat/>
    <w:rsid w:val="00DD6B4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DD6B46"/>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uiPriority w:val="99"/>
    <w:semiHidden/>
    <w:unhideWhenUsed/>
    <w:qFormat/>
    <w:rsid w:val="00DD6B46"/>
    <w:rPr>
      <w:sz w:val="21"/>
      <w:szCs w:val="21"/>
    </w:rPr>
  </w:style>
  <w:style w:type="character" w:customStyle="1" w:styleId="a9">
    <w:name w:val="页眉字符"/>
    <w:basedOn w:val="a0"/>
    <w:link w:val="a8"/>
    <w:uiPriority w:val="99"/>
    <w:semiHidden/>
    <w:qFormat/>
    <w:rsid w:val="00DD6B46"/>
    <w:rPr>
      <w:sz w:val="18"/>
      <w:szCs w:val="18"/>
    </w:rPr>
  </w:style>
  <w:style w:type="character" w:customStyle="1" w:styleId="a7">
    <w:name w:val="页脚字符"/>
    <w:basedOn w:val="a0"/>
    <w:link w:val="a6"/>
    <w:uiPriority w:val="99"/>
    <w:semiHidden/>
    <w:qFormat/>
    <w:rsid w:val="00DD6B46"/>
    <w:rPr>
      <w:sz w:val="18"/>
      <w:szCs w:val="18"/>
    </w:rPr>
  </w:style>
  <w:style w:type="paragraph" w:customStyle="1" w:styleId="1">
    <w:name w:val="列出段落1"/>
    <w:basedOn w:val="a"/>
    <w:qFormat/>
    <w:rsid w:val="00DD6B46"/>
    <w:pPr>
      <w:spacing w:before="120" w:after="120"/>
      <w:ind w:firstLineChars="200" w:firstLine="420"/>
    </w:pPr>
    <w:rPr>
      <w:szCs w:val="20"/>
    </w:rPr>
  </w:style>
  <w:style w:type="character" w:customStyle="1" w:styleId="a5">
    <w:name w:val="批注框文本字符"/>
    <w:basedOn w:val="a0"/>
    <w:link w:val="a4"/>
    <w:uiPriority w:val="99"/>
    <w:semiHidden/>
    <w:rsid w:val="00DD6B46"/>
    <w:rPr>
      <w:rFonts w:ascii="Calibri" w:hAnsi="Calibr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semiHidden/>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uiPriority w:val="99"/>
    <w:semiHidden/>
    <w:unhideWhenUsed/>
    <w:qFormat/>
    <w:rPr>
      <w:sz w:val="21"/>
      <w:szCs w:val="21"/>
    </w:rPr>
  </w:style>
  <w:style w:type="character" w:customStyle="1" w:styleId="a9">
    <w:name w:val="页眉字符"/>
    <w:basedOn w:val="a0"/>
    <w:link w:val="a8"/>
    <w:uiPriority w:val="99"/>
    <w:semiHidden/>
    <w:qFormat/>
    <w:rPr>
      <w:sz w:val="18"/>
      <w:szCs w:val="18"/>
    </w:rPr>
  </w:style>
  <w:style w:type="character" w:customStyle="1" w:styleId="a7">
    <w:name w:val="页脚字符"/>
    <w:basedOn w:val="a0"/>
    <w:link w:val="a6"/>
    <w:uiPriority w:val="99"/>
    <w:semiHidden/>
    <w:qFormat/>
    <w:rPr>
      <w:sz w:val="18"/>
      <w:szCs w:val="18"/>
    </w:rPr>
  </w:style>
  <w:style w:type="paragraph" w:customStyle="1" w:styleId="1">
    <w:name w:val="列出段落1"/>
    <w:basedOn w:val="a"/>
    <w:qFormat/>
    <w:pPr>
      <w:spacing w:before="120" w:after="120"/>
      <w:ind w:firstLineChars="200" w:firstLine="420"/>
    </w:pPr>
    <w:rPr>
      <w:szCs w:val="20"/>
    </w:rPr>
  </w:style>
  <w:style w:type="character" w:customStyle="1" w:styleId="a5">
    <w:name w:val="批注框文本字符"/>
    <w:basedOn w:val="a0"/>
    <w:link w:val="a4"/>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2182</Words>
  <Characters>12444</Characters>
  <Application>Microsoft Macintosh Word</Application>
  <DocSecurity>0</DocSecurity>
  <Lines>103</Lines>
  <Paragraphs>29</Paragraphs>
  <ScaleCrop>false</ScaleCrop>
  <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陆军</dc:creator>
  <cp:lastModifiedBy>玲 李</cp:lastModifiedBy>
  <cp:revision>5</cp:revision>
  <cp:lastPrinted>2021-05-31T08:11:00Z</cp:lastPrinted>
  <dcterms:created xsi:type="dcterms:W3CDTF">2022-11-30T02:05:00Z</dcterms:created>
  <dcterms:modified xsi:type="dcterms:W3CDTF">2022-12-08T04:01:00Z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