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南浔农商行丰收信福2023年第二期人民币封闭净值型理财产品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0F4AAB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5465B6" w:rsidRDefault="0024340D" w:rsidP="00CC7D9B">
      <w:pPr>
        <w:pStyle w:val="XBRLTitle1"/>
        <w:spacing w:before="156" w:after="156"/>
      </w:pPr>
      <w:r>
        <w:rPr>
          <w:rFonts w:hint="eastAsia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南浔农商行丰收信福2023年第二期人民币封闭净值型理财产品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C1124523000002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2023-01-30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2024-01-30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9,640,000.00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CC7D9B">
      <w:pPr>
        <w:pStyle w:val="XBRLTitle1"/>
        <w:spacing w:before="156" w:after="156"/>
      </w:pPr>
      <w:r>
        <w:rPr>
          <w:rFonts w:hint="eastAsia"/>
        </w:rPr>
        <w:t>产品收益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1.12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3.56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CC7D9B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5856F0">
        <w:trPr>
          <w:trHeight w:val="304"/>
        </w:trPr>
        <w:tc>
          <w:tcPr>
            <w:tcW w:w="3838" w:type="dxa"/>
            <w:vAlign w:val="center"/>
          </w:tcPr>
          <w:p w:rsidR="005856F0" w:rsidRDefault="00420E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5856F0" w:rsidRDefault="00420EE2">
            <w:pPr>
              <w:jc w:val="right"/>
            </w:pPr>
            <w:r>
              <w:t>-375.60</w:t>
            </w:r>
          </w:p>
        </w:tc>
      </w:tr>
      <w:tr w:rsidR="005856F0">
        <w:trPr>
          <w:trHeight w:val="304"/>
        </w:trPr>
        <w:tc>
          <w:tcPr>
            <w:tcW w:w="3838" w:type="dxa"/>
            <w:vAlign w:val="center"/>
          </w:tcPr>
          <w:p w:rsidR="005856F0" w:rsidRDefault="00420E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5856F0" w:rsidRDefault="00420EE2">
            <w:pPr>
              <w:jc w:val="right"/>
            </w:pPr>
            <w:r>
              <w:t>110,836.05</w:t>
            </w:r>
          </w:p>
        </w:tc>
      </w:tr>
      <w:tr w:rsidR="005856F0">
        <w:trPr>
          <w:trHeight w:val="304"/>
        </w:trPr>
        <w:tc>
          <w:tcPr>
            <w:tcW w:w="3838" w:type="dxa"/>
            <w:vAlign w:val="center"/>
          </w:tcPr>
          <w:p w:rsidR="005856F0" w:rsidRDefault="00420EE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5856F0" w:rsidRDefault="00420EE2">
            <w:pPr>
              <w:jc w:val="right"/>
            </w:pPr>
            <w:r>
              <w:t>9,982,813.83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1.0356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CC7D9B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0F4AAB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F4AAB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F4AAB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87E77" w:rsidRPr="00487E77" w:rsidRDefault="00487E77" w:rsidP="000F4AAB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12,002,519.99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119.58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12,002,519.99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119.58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98,204.28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0.98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10,037,277.27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462.60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10,037,277.27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12,101,186.87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120.56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</w:rPr>
        <w:t>性</w:t>
      </w:r>
      <w:r w:rsidRPr="00A97609">
        <w:rPr>
          <w:b w:val="0"/>
        </w:rPr>
        <w:t>风险分析</w:t>
      </w:r>
    </w:p>
    <w:p w:rsidR="00BE7278" w:rsidRPr="000F4AAB" w:rsidRDefault="00CC7D9B" w:rsidP="000F4AAB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10,037,277.27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100.55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宜创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841,646.85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8.43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建工</w:t>
            </w:r>
            <w:r>
              <w:rPr>
                <w:szCs w:val="21"/>
              </w:rPr>
              <w:t>Y6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807,283.73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8.09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富和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644,653.95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6.46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武汉车都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634,715.75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6.36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二航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609,243.89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6.10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成经债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434,402.44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4.35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重庆物流</w:t>
            </w:r>
            <w:r>
              <w:rPr>
                <w:szCs w:val="21"/>
              </w:rPr>
              <w:t>MTN001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434,269.35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4.35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联投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433,128.97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4.34</w:t>
            </w:r>
          </w:p>
        </w:tc>
      </w:tr>
      <w:tr w:rsidR="005856F0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兴城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431,672.87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56F0" w:rsidRDefault="00420EE2">
            <w:pPr>
              <w:jc w:val="right"/>
              <w:rPr>
                <w:rFonts w:eastAsia="Times New Roman"/>
                <w:sz w:val="20"/>
              </w:rPr>
            </w:pPr>
            <w:r>
              <w:t>4.32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乐山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429,957.28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4.31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CC7D9B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F78" w:rsidRDefault="00C46F78">
      <w:r>
        <w:separator/>
      </w:r>
    </w:p>
  </w:endnote>
  <w:endnote w:type="continuationSeparator" w:id="1">
    <w:p w:rsidR="00C46F78" w:rsidRDefault="00C46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2A622E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F78" w:rsidRDefault="00C46F78">
      <w:r>
        <w:separator/>
      </w:r>
    </w:p>
  </w:footnote>
  <w:footnote w:type="continuationSeparator" w:id="1">
    <w:p w:rsidR="00C46F78" w:rsidRDefault="00C46F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4AAB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22E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0EE2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856F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46F78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C7D9B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5856F0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5856F0"/>
    <w:rPr>
      <w:vertAlign w:val="superscript"/>
    </w:rPr>
  </w:style>
  <w:style w:type="character" w:styleId="a4">
    <w:name w:val="annotation reference"/>
    <w:rsid w:val="005856F0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5856F0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585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5856F0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585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5856F0"/>
    <w:pPr>
      <w:jc w:val="left"/>
    </w:pPr>
  </w:style>
  <w:style w:type="paragraph" w:styleId="aa">
    <w:name w:val="Balloon Text"/>
    <w:basedOn w:val="a"/>
    <w:rsid w:val="005856F0"/>
    <w:rPr>
      <w:sz w:val="18"/>
      <w:szCs w:val="18"/>
    </w:rPr>
  </w:style>
  <w:style w:type="paragraph" w:styleId="ab">
    <w:name w:val="footnote text"/>
    <w:basedOn w:val="a"/>
    <w:link w:val="Char1"/>
    <w:rsid w:val="005856F0"/>
    <w:pPr>
      <w:snapToGrid w:val="0"/>
      <w:jc w:val="left"/>
    </w:pPr>
    <w:rPr>
      <w:sz w:val="18"/>
      <w:szCs w:val="18"/>
    </w:rPr>
  </w:style>
  <w:style w:type="paragraph" w:styleId="ac">
    <w:name w:val="Document Map"/>
    <w:basedOn w:val="a"/>
    <w:rsid w:val="005856F0"/>
    <w:pPr>
      <w:shd w:val="clear" w:color="auto" w:fill="000080"/>
    </w:pPr>
  </w:style>
  <w:style w:type="paragraph" w:styleId="ad">
    <w:name w:val="annotation subject"/>
    <w:basedOn w:val="a9"/>
    <w:next w:val="a9"/>
    <w:rsid w:val="005856F0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5856F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5856F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5856F0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5856F0"/>
  </w:style>
  <w:style w:type="paragraph" w:styleId="af">
    <w:name w:val="Normal (Web)"/>
    <w:basedOn w:val="a"/>
    <w:rsid w:val="005856F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346</Words>
  <Characters>1973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