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65B6" w:rsidRDefault="005465B6">
      <w:pPr>
        <w:rPr>
          <w:sz w:val="48"/>
        </w:rPr>
      </w:pPr>
    </w:p>
    <w:p w:rsidR="005465B6" w:rsidRDefault="005465B6">
      <w:pPr>
        <w:rPr>
          <w:sz w:val="48"/>
        </w:rPr>
      </w:pPr>
    </w:p>
    <w:p w:rsidR="00641758" w:rsidRPr="00AE7B09" w:rsidRDefault="00786516" w:rsidP="0028673C">
      <w:pPr>
        <w:jc w:val="center"/>
        <w:rPr>
          <w:rFonts w:ascii="宋体" w:hAnsi="宋体"/>
          <w:b/>
          <w:bCs/>
          <w:sz w:val="48"/>
          <w:szCs w:val="30"/>
        </w:rPr>
      </w:pPr>
      <w:r>
        <w:rPr>
          <w:rFonts w:ascii="宋体" w:hAnsi="宋体" w:hint="eastAsia"/>
          <w:b/>
          <w:bCs/>
          <w:sz w:val="48"/>
          <w:szCs w:val="30"/>
        </w:rPr>
        <w:t>南浔农商银行丰收喜悦超短期开放净值型理财产品</w:t>
      </w:r>
    </w:p>
    <w:p w:rsidR="0028673C" w:rsidRPr="00C54806" w:rsidRDefault="00786516" w:rsidP="0028673C">
      <w:pPr>
        <w:jc w:val="center"/>
        <w:rPr>
          <w:rFonts w:ascii="宋体" w:hAnsi="宋体"/>
          <w:b/>
          <w:bCs/>
          <w:sz w:val="48"/>
          <w:szCs w:val="30"/>
        </w:rPr>
      </w:pPr>
      <w:r>
        <w:rPr>
          <w:rFonts w:ascii="宋体" w:hAnsi="宋体"/>
          <w:b/>
          <w:bCs/>
          <w:sz w:val="48"/>
          <w:szCs w:val="30"/>
        </w:rPr>
        <w:t>2023年半年度</w:t>
      </w:r>
      <w:r w:rsidR="00985C6F">
        <w:rPr>
          <w:rFonts w:ascii="宋体" w:hAnsi="宋体" w:hint="eastAsia"/>
          <w:b/>
          <w:bCs/>
          <w:sz w:val="48"/>
          <w:szCs w:val="30"/>
        </w:rPr>
        <w:t>报告</w:t>
      </w:r>
    </w:p>
    <w:p w:rsidR="005465B6" w:rsidRPr="005310A6" w:rsidRDefault="005465B6">
      <w:pPr>
        <w:jc w:val="center"/>
        <w:rPr>
          <w:rFonts w:ascii="宋体" w:hAnsi="宋体"/>
          <w:b/>
          <w:bCs/>
          <w:sz w:val="28"/>
          <w:szCs w:val="30"/>
        </w:rPr>
      </w:pPr>
    </w:p>
    <w:p w:rsidR="005465B6" w:rsidRPr="00552EA5"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rsidP="00C00573">
      <w:pPr>
        <w:jc w:val="center"/>
        <w:rPr>
          <w:rFonts w:ascii="宋体" w:hAnsi="宋体"/>
          <w:sz w:val="28"/>
          <w:szCs w:val="30"/>
        </w:rPr>
      </w:pPr>
    </w:p>
    <w:p w:rsidR="00C00573" w:rsidRDefault="00C00573" w:rsidP="00C00573">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Pr="003245FC" w:rsidRDefault="0024340D">
      <w:pPr>
        <w:ind w:firstLineChars="600" w:firstLine="1687"/>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rsidR="005465B6" w:rsidRDefault="0024340D">
      <w:pPr>
        <w:ind w:firstLineChars="600" w:firstLine="1687"/>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rsidR="005465B6" w:rsidRDefault="005465B6">
      <w:pPr>
        <w:ind w:firstLineChars="600" w:firstLine="1680"/>
        <w:jc w:val="left"/>
        <w:rPr>
          <w:rFonts w:ascii="宋体" w:hAnsi="宋体"/>
          <w:sz w:val="28"/>
          <w:szCs w:val="30"/>
        </w:rPr>
      </w:pPr>
    </w:p>
    <w:p w:rsidR="0093136C" w:rsidRDefault="0093136C">
      <w:pPr>
        <w:ind w:firstLineChars="600" w:firstLine="1680"/>
        <w:jc w:val="left"/>
        <w:rPr>
          <w:rFonts w:ascii="宋体" w:hAnsi="宋体"/>
          <w:sz w:val="28"/>
          <w:szCs w:val="30"/>
        </w:rPr>
      </w:pPr>
    </w:p>
    <w:p w:rsidR="006C483B" w:rsidRDefault="006C483B">
      <w:pPr>
        <w:ind w:firstLineChars="600" w:firstLine="1680"/>
        <w:jc w:val="left"/>
        <w:rPr>
          <w:rFonts w:ascii="宋体" w:hAnsi="宋体"/>
          <w:sz w:val="28"/>
          <w:szCs w:val="30"/>
        </w:rPr>
      </w:pPr>
    </w:p>
    <w:p w:rsidR="005465B6" w:rsidRPr="0093136C" w:rsidRDefault="005465B6" w:rsidP="0093136C">
      <w:pPr>
        <w:rPr>
          <w:rFonts w:ascii="宋体" w:hAnsi="宋体"/>
          <w:sz w:val="28"/>
          <w:szCs w:val="30"/>
        </w:rPr>
      </w:pPr>
    </w:p>
    <w:p w:rsidR="00BF6960" w:rsidRDefault="00BF6960" w:rsidP="00BF6960">
      <w:pPr>
        <w:jc w:val="center"/>
        <w:rPr>
          <w:rFonts w:ascii="宋体" w:hAnsi="宋体"/>
          <w:b/>
          <w:bCs/>
          <w:sz w:val="28"/>
          <w:szCs w:val="30"/>
        </w:rPr>
      </w:pPr>
    </w:p>
    <w:p w:rsidR="00BF6960" w:rsidRDefault="00BF6960" w:rsidP="00BF6960">
      <w:pPr>
        <w:jc w:val="center"/>
        <w:rPr>
          <w:rFonts w:ascii="宋体" w:hAnsi="宋体"/>
          <w:b/>
          <w:bCs/>
          <w:sz w:val="28"/>
          <w:szCs w:val="30"/>
        </w:rPr>
      </w:pPr>
      <w:r>
        <w:rPr>
          <w:rFonts w:ascii="宋体" w:hAnsi="宋体" w:hint="eastAsia"/>
          <w:b/>
          <w:bCs/>
          <w:sz w:val="28"/>
          <w:szCs w:val="30"/>
        </w:rPr>
        <w:t>重要提示</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bookmarkStart w:id="0" w:name="_GoBack"/>
      <w:bookmarkEnd w:id="0"/>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2023-01-01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2023-06-30</w:t>
      </w:r>
      <w:r>
        <w:rPr>
          <w:rFonts w:ascii="宋体" w:hAnsi="宋体"/>
          <w:szCs w:val="21"/>
        </w:rPr>
        <w:t>止。</w:t>
      </w:r>
    </w:p>
    <w:p w:rsidR="005465B6" w:rsidRDefault="0024340D" w:rsidP="00765093">
      <w:pPr>
        <w:pStyle w:val="XBRLTitle1"/>
        <w:spacing w:before="156" w:after="156"/>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A80900" w:rsidTr="00C34D32">
        <w:trPr>
          <w:trHeight w:val="304"/>
        </w:trPr>
        <w:tc>
          <w:tcPr>
            <w:tcW w:w="3838" w:type="dxa"/>
            <w:vAlign w:val="center"/>
          </w:tcPr>
          <w:p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rsidR="00A80900" w:rsidRPr="00A80900" w:rsidRDefault="00A80900" w:rsidP="00D7572D">
            <w:pPr>
              <w:jc w:val="left"/>
              <w:rPr>
                <w:rFonts w:ascii="宋体" w:hAnsi="宋体"/>
                <w:b/>
              </w:rPr>
            </w:pPr>
            <w:r w:rsidRPr="00A80900">
              <w:rPr>
                <w:rFonts w:ascii="宋体" w:hAnsi="宋体" w:hint="eastAsia"/>
                <w:b/>
              </w:rPr>
              <w:t>信息</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rsidR="004E5C17" w:rsidRDefault="004E5C17" w:rsidP="004E5C17">
            <w:pPr>
              <w:jc w:val="left"/>
              <w:rPr>
                <w:rFonts w:ascii="宋体" w:hAnsi="宋体"/>
              </w:rPr>
            </w:pPr>
            <w:r>
              <w:rPr>
                <w:rFonts w:ascii="宋体" w:hAnsi="宋体" w:hint="eastAsia"/>
              </w:rPr>
              <w:t>南浔农商银行丰收喜悦超短期开放净值型理财产品</w:t>
            </w:r>
          </w:p>
        </w:tc>
      </w:tr>
      <w:tr w:rsidR="004E5C17" w:rsidTr="00AD6DD4">
        <w:trPr>
          <w:trHeight w:val="304"/>
        </w:trPr>
        <w:tc>
          <w:tcPr>
            <w:tcW w:w="3838" w:type="dxa"/>
            <w:vAlign w:val="center"/>
          </w:tcPr>
          <w:p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rsidR="004E5C17" w:rsidRDefault="004E5C17" w:rsidP="004E5C17">
            <w:pPr>
              <w:jc w:val="left"/>
              <w:rPr>
                <w:rFonts w:ascii="宋体" w:hAnsi="宋体"/>
              </w:rPr>
            </w:pPr>
            <w:r>
              <w:rPr>
                <w:rFonts w:ascii="宋体" w:hAnsi="宋体"/>
              </w:rPr>
              <w:t>C1124521000036</w:t>
            </w:r>
          </w:p>
        </w:tc>
      </w:tr>
      <w:tr w:rsidR="004E5C17" w:rsidTr="00AD6DD4">
        <w:trPr>
          <w:trHeight w:val="304"/>
        </w:trPr>
        <w:tc>
          <w:tcPr>
            <w:tcW w:w="3838" w:type="dxa"/>
            <w:vAlign w:val="center"/>
          </w:tcPr>
          <w:p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rsidR="004E5C17" w:rsidRDefault="004E5C17" w:rsidP="004E5C17">
            <w:pPr>
              <w:jc w:val="left"/>
              <w:rPr>
                <w:rFonts w:ascii="宋体" w:hAnsi="宋体"/>
              </w:rPr>
            </w:pPr>
            <w:r>
              <w:rPr>
                <w:rFonts w:ascii="宋体" w:hAnsi="宋体" w:hint="eastAsia"/>
              </w:rPr>
              <w:t>浙江南浔农村商业银行股份有限公司</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rsidR="004E5C17" w:rsidRDefault="004E5C17" w:rsidP="004E5C17">
            <w:pPr>
              <w:jc w:val="left"/>
              <w:rPr>
                <w:rFonts w:ascii="宋体" w:hAnsi="宋体"/>
              </w:rPr>
            </w:pPr>
            <w:r w:rsidRPr="005310A6">
              <w:rPr>
                <w:rFonts w:ascii="宋体" w:hAnsi="宋体"/>
              </w:rPr>
              <w:t>招商银行股份有限公司杭州分行</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rsidR="004E5C17" w:rsidRDefault="004E5C17" w:rsidP="004E5C17">
            <w:pPr>
              <w:jc w:val="left"/>
              <w:rPr>
                <w:rFonts w:ascii="宋体" w:hAnsi="宋体"/>
              </w:rPr>
            </w:pPr>
            <w:r>
              <w:rPr>
                <w:rFonts w:ascii="宋体" w:hAnsi="宋体"/>
              </w:rPr>
              <w:t>公募开放式净值型银行理财</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rsidR="004E5C17" w:rsidRDefault="004E5C17" w:rsidP="004E5C17">
            <w:pPr>
              <w:jc w:val="left"/>
              <w:rPr>
                <w:rFonts w:ascii="宋体" w:hAnsi="宋体"/>
              </w:rPr>
            </w:pPr>
            <w:r>
              <w:rPr>
                <w:rFonts w:ascii="宋体" w:hAnsi="宋体" w:hint="eastAsia"/>
              </w:rPr>
              <w:t>2021-08-11</w:t>
            </w:r>
          </w:p>
        </w:tc>
      </w:tr>
      <w:tr w:rsidR="004E5C17" w:rsidTr="00AD6DD4">
        <w:trPr>
          <w:trHeight w:val="304"/>
        </w:trPr>
        <w:tc>
          <w:tcPr>
            <w:tcW w:w="3838" w:type="dxa"/>
            <w:vAlign w:val="center"/>
          </w:tcPr>
          <w:p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rsidR="004E5C17" w:rsidRDefault="004E5C17" w:rsidP="004E5C17">
            <w:pPr>
              <w:jc w:val="left"/>
              <w:rPr>
                <w:rFonts w:ascii="宋体" w:hAnsi="宋体"/>
              </w:rPr>
            </w:pPr>
            <w:r>
              <w:rPr>
                <w:rFonts w:ascii="宋体" w:hAnsi="宋体" w:hint="eastAsia"/>
              </w:rPr>
              <w:t>2029-12-11</w:t>
            </w:r>
          </w:p>
        </w:tc>
      </w:tr>
      <w:tr w:rsidR="004E5C17" w:rsidTr="00AD6DD4">
        <w:trPr>
          <w:trHeight w:val="321"/>
        </w:trPr>
        <w:tc>
          <w:tcPr>
            <w:tcW w:w="3838" w:type="dxa"/>
            <w:vAlign w:val="center"/>
          </w:tcPr>
          <w:p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rsidR="004E5C17" w:rsidRDefault="004E5C17" w:rsidP="004E5C17">
            <w:pPr>
              <w:jc w:val="left"/>
              <w:rPr>
                <w:rFonts w:ascii="宋体" w:hAnsi="宋体"/>
              </w:rPr>
            </w:pPr>
            <w:bookmarkStart w:id="1" w:name="OLE_LINK1"/>
            <w:r>
              <w:rPr>
                <w:rFonts w:ascii="宋体" w:hAnsi="宋体" w:hint="eastAsia"/>
              </w:rPr>
              <w:t>25,865,288.42</w:t>
            </w:r>
            <w:bookmarkEnd w:id="1"/>
          </w:p>
        </w:tc>
      </w:tr>
      <w:tr w:rsidR="004E5C17" w:rsidTr="00AD6DD4">
        <w:trPr>
          <w:trHeight w:val="304"/>
        </w:trPr>
        <w:tc>
          <w:tcPr>
            <w:tcW w:w="3838" w:type="dxa"/>
            <w:vAlign w:val="center"/>
          </w:tcPr>
          <w:p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rsidR="004E5C17" w:rsidRPr="00D7572D" w:rsidRDefault="004E5C17" w:rsidP="004E5C17">
            <w:pPr>
              <w:jc w:val="left"/>
              <w:rPr>
                <w:rFonts w:ascii="宋体" w:hAnsi="宋体"/>
              </w:rPr>
            </w:pPr>
            <w:r>
              <w:rPr>
                <w:rFonts w:ascii="宋体" w:hAnsi="宋体"/>
              </w:rPr>
              <w:t>2.7%/年</w:t>
            </w:r>
          </w:p>
        </w:tc>
      </w:tr>
      <w:tr w:rsidR="004E5C17" w:rsidTr="00AD6DD4">
        <w:trPr>
          <w:trHeight w:val="304"/>
        </w:trPr>
        <w:tc>
          <w:tcPr>
            <w:tcW w:w="3838" w:type="dxa"/>
            <w:vAlign w:val="center"/>
          </w:tcPr>
          <w:p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rsidR="004E5C17" w:rsidRPr="00D7572D" w:rsidRDefault="004E5C17" w:rsidP="004E5C17">
            <w:pPr>
              <w:jc w:val="left"/>
              <w:rPr>
                <w:rFonts w:ascii="宋体" w:hAnsi="宋体"/>
              </w:rPr>
            </w:pPr>
            <w:r>
              <w:rPr>
                <w:rFonts w:ascii="宋体" w:hAnsi="宋体"/>
              </w:rPr>
              <w:t>市值法</w:t>
            </w:r>
          </w:p>
        </w:tc>
      </w:tr>
    </w:tbl>
    <w:p w:rsidR="00B91227" w:rsidRPr="00B91227" w:rsidRDefault="0024340D" w:rsidP="00765093">
      <w:pPr>
        <w:pStyle w:val="XBRLTitle1"/>
        <w:spacing w:before="156" w:after="156"/>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53"/>
        <w:gridCol w:w="5103"/>
      </w:tblGrid>
      <w:tr w:rsidR="000811DB" w:rsidTr="006876F4">
        <w:trPr>
          <w:trHeight w:val="766"/>
        </w:trPr>
        <w:tc>
          <w:tcPr>
            <w:tcW w:w="3853" w:type="dxa"/>
            <w:shd w:val="clear" w:color="auto" w:fill="D9D9D9"/>
            <w:vAlign w:val="center"/>
          </w:tcPr>
          <w:p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rsidTr="006876F4">
        <w:trPr>
          <w:trHeight w:val="556"/>
        </w:trPr>
        <w:tc>
          <w:tcPr>
            <w:tcW w:w="3853" w:type="dxa"/>
            <w:vAlign w:val="center"/>
          </w:tcPr>
          <w:p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2023-01-01</w:t>
            </w:r>
            <w:r w:rsidR="00761A28">
              <w:rPr>
                <w:rFonts w:ascii="宋体" w:hAnsi="宋体" w:hint="eastAsia"/>
              </w:rPr>
              <w:t>至</w:t>
            </w:r>
            <w:r w:rsidR="00761A28" w:rsidRPr="00D76EC7">
              <w:rPr>
                <w:rFonts w:ascii="宋体" w:hAnsi="宋体"/>
              </w:rPr>
              <w:t>2023-06-30</w:t>
            </w:r>
            <w:r w:rsidR="00761A28">
              <w:rPr>
                <w:rFonts w:ascii="宋体" w:hAnsi="宋体" w:hint="eastAsia"/>
              </w:rPr>
              <w:t>）</w:t>
            </w:r>
          </w:p>
        </w:tc>
        <w:tc>
          <w:tcPr>
            <w:tcW w:w="5103" w:type="dxa"/>
            <w:vAlign w:val="center"/>
          </w:tcPr>
          <w:p w:rsidR="000811DB" w:rsidRPr="00A2617B" w:rsidRDefault="00037456" w:rsidP="00D31FD3">
            <w:pPr>
              <w:jc w:val="right"/>
            </w:pPr>
            <w:r w:rsidRPr="00A2617B">
              <w:t>2.06</w:t>
            </w:r>
          </w:p>
        </w:tc>
      </w:tr>
      <w:tr w:rsidR="006876F4" w:rsidTr="006876F4">
        <w:trPr>
          <w:trHeight w:val="556"/>
        </w:trPr>
        <w:tc>
          <w:tcPr>
            <w:tcW w:w="3853" w:type="dxa"/>
            <w:vAlign w:val="center"/>
          </w:tcPr>
          <w:p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rsidR="006876F4" w:rsidRPr="00BD70E0" w:rsidRDefault="00037456" w:rsidP="006876F4">
            <w:pPr>
              <w:jc w:val="right"/>
            </w:pPr>
            <w:r w:rsidRPr="00BD70E0">
              <w:rPr>
                <w:rFonts w:hint="eastAsia"/>
              </w:rPr>
              <w:t>5.53</w:t>
            </w:r>
            <w:bookmarkStart w:id="2" w:name="OLE_LINK4"/>
            <w:bookmarkStart w:id="3" w:name="OLE_LINK7"/>
            <w:bookmarkEnd w:id="2"/>
            <w:bookmarkEnd w:id="3"/>
          </w:p>
        </w:tc>
      </w:tr>
    </w:tbl>
    <w:p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rsidR="006E2B12" w:rsidRDefault="006E2B12" w:rsidP="00765093">
      <w:pPr>
        <w:pStyle w:val="XBRLTitle1"/>
        <w:spacing w:before="156" w:after="156"/>
      </w:pPr>
      <w:r w:rsidRPr="006E2B12">
        <w:rPr>
          <w:rFonts w:hint="eastAsia"/>
        </w:rPr>
        <w:t>主要财务指标</w:t>
      </w:r>
    </w:p>
    <w:p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6955BF" w:rsidTr="00F0048F">
        <w:trPr>
          <w:trHeight w:val="708"/>
        </w:trPr>
        <w:tc>
          <w:tcPr>
            <w:tcW w:w="3838" w:type="dxa"/>
            <w:shd w:val="clear" w:color="auto" w:fill="D9D9D9"/>
            <w:vAlign w:val="center"/>
          </w:tcPr>
          <w:p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rsidR="006955BF" w:rsidRPr="006E2B12" w:rsidRDefault="006955BF" w:rsidP="006955BF">
            <w:pPr>
              <w:jc w:val="left"/>
              <w:rPr>
                <w:b/>
              </w:rPr>
            </w:pPr>
            <w:r w:rsidRPr="0096288A">
              <w:rPr>
                <w:b/>
              </w:rPr>
              <w:t>2023-01-01</w:t>
            </w:r>
            <w:r w:rsidRPr="006E2B12">
              <w:rPr>
                <w:rFonts w:hint="eastAsia"/>
                <w:b/>
              </w:rPr>
              <w:t>至</w:t>
            </w:r>
            <w:r w:rsidRPr="006E2B12">
              <w:rPr>
                <w:rFonts w:hint="eastAsia"/>
                <w:b/>
              </w:rPr>
              <w:t xml:space="preserve"> </w:t>
            </w:r>
            <w:r w:rsidRPr="0096288A">
              <w:rPr>
                <w:b/>
              </w:rPr>
              <w:t>2023-06-30</w:t>
            </w:r>
          </w:p>
        </w:tc>
      </w:tr>
      <w:tr w:rsidR="00277121">
        <w:trPr>
          <w:trHeight w:val="304"/>
        </w:trPr>
        <w:tc>
          <w:tcPr>
            <w:tcW w:w="3838" w:type="dxa"/>
            <w:vAlign w:val="center"/>
          </w:tcPr>
          <w:p w:rsidR="00277121" w:rsidRDefault="00FC0641">
            <w:pPr>
              <w:rPr>
                <w:rFonts w:ascii="宋体" w:hAnsi="宋体"/>
              </w:rPr>
            </w:pPr>
            <w:r>
              <w:rPr>
                <w:rFonts w:ascii="宋体" w:hAnsi="宋体" w:hint="eastAsia"/>
                <w:szCs w:val="21"/>
              </w:rPr>
              <w:t>本期已实现收益</w:t>
            </w:r>
          </w:p>
        </w:tc>
        <w:tc>
          <w:tcPr>
            <w:tcW w:w="5027" w:type="dxa"/>
            <w:vAlign w:val="center"/>
          </w:tcPr>
          <w:p w:rsidR="00277121" w:rsidRDefault="00FC0641">
            <w:pPr>
              <w:jc w:val="right"/>
            </w:pPr>
            <w:r>
              <w:t>99,452.52</w:t>
            </w:r>
          </w:p>
        </w:tc>
      </w:tr>
      <w:tr w:rsidR="00277121">
        <w:trPr>
          <w:trHeight w:val="304"/>
        </w:trPr>
        <w:tc>
          <w:tcPr>
            <w:tcW w:w="3838" w:type="dxa"/>
            <w:vAlign w:val="center"/>
          </w:tcPr>
          <w:p w:rsidR="00277121" w:rsidRDefault="00FC0641">
            <w:pPr>
              <w:rPr>
                <w:rFonts w:ascii="宋体" w:hAnsi="宋体"/>
              </w:rPr>
            </w:pPr>
            <w:r>
              <w:rPr>
                <w:rFonts w:ascii="宋体" w:hAnsi="宋体" w:hint="eastAsia"/>
                <w:szCs w:val="21"/>
              </w:rPr>
              <w:t>本期利润</w:t>
            </w:r>
          </w:p>
        </w:tc>
        <w:tc>
          <w:tcPr>
            <w:tcW w:w="5027" w:type="dxa"/>
            <w:vAlign w:val="center"/>
          </w:tcPr>
          <w:p w:rsidR="00277121" w:rsidRDefault="00FC0641">
            <w:pPr>
              <w:jc w:val="right"/>
            </w:pPr>
            <w:r>
              <w:t>212,152.99</w:t>
            </w:r>
          </w:p>
        </w:tc>
      </w:tr>
      <w:tr w:rsidR="00277121">
        <w:trPr>
          <w:trHeight w:val="304"/>
        </w:trPr>
        <w:tc>
          <w:tcPr>
            <w:tcW w:w="3838" w:type="dxa"/>
            <w:vAlign w:val="center"/>
          </w:tcPr>
          <w:p w:rsidR="00277121" w:rsidRDefault="00FC0641">
            <w:pPr>
              <w:rPr>
                <w:rFonts w:ascii="宋体" w:hAnsi="宋体"/>
              </w:rPr>
            </w:pPr>
            <w:r>
              <w:rPr>
                <w:rFonts w:ascii="宋体" w:hAnsi="宋体" w:hint="eastAsia"/>
                <w:szCs w:val="21"/>
              </w:rPr>
              <w:t>期末产品资产净值</w:t>
            </w:r>
          </w:p>
        </w:tc>
        <w:tc>
          <w:tcPr>
            <w:tcW w:w="5027" w:type="dxa"/>
            <w:vAlign w:val="center"/>
          </w:tcPr>
          <w:p w:rsidR="00277121" w:rsidRDefault="00FC0641">
            <w:pPr>
              <w:jc w:val="right"/>
            </w:pPr>
            <w:r>
              <w:t>27,294,501.40</w:t>
            </w:r>
          </w:p>
        </w:tc>
      </w:tr>
      <w:tr w:rsidR="00664F5A">
        <w:trPr>
          <w:trHeight w:val="304"/>
        </w:trPr>
        <w:tc>
          <w:tcPr>
            <w:tcW w:w="3838" w:type="dxa"/>
            <w:vAlign w:val="center"/>
          </w:tcPr>
          <w:p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rsidR="00664F5A" w:rsidRPr="00BD70E0" w:rsidRDefault="00664F5A" w:rsidP="00664F5A">
            <w:pPr>
              <w:jc w:val="right"/>
            </w:pPr>
            <w:r w:rsidRPr="00BD70E0">
              <w:t>1.0553</w:t>
            </w:r>
          </w:p>
        </w:tc>
      </w:tr>
    </w:tbl>
    <w:p w:rsidR="00664F5A" w:rsidRDefault="00664F5A" w:rsidP="00664F5A">
      <w:pPr>
        <w:tabs>
          <w:tab w:val="left" w:pos="3135"/>
        </w:tabs>
        <w:ind w:leftChars="200" w:left="420"/>
      </w:pPr>
    </w:p>
    <w:p w:rsidR="001C4ACD" w:rsidRDefault="001C4ACD" w:rsidP="00765093">
      <w:pPr>
        <w:pStyle w:val="XBRLTitle1"/>
        <w:spacing w:before="156" w:after="156"/>
      </w:pPr>
      <w:r w:rsidRPr="001C4ACD">
        <w:rPr>
          <w:rFonts w:hint="eastAsia"/>
        </w:rPr>
        <w:t>投资组合情况</w:t>
      </w:r>
      <w:r w:rsidR="00A97609">
        <w:rPr>
          <w:rFonts w:hint="eastAsia"/>
        </w:rPr>
        <w:t>及</w:t>
      </w:r>
      <w:r w:rsidR="00A97609">
        <w:t>流动性风险分析</w:t>
      </w:r>
    </w:p>
    <w:p w:rsidR="00487E77" w:rsidRPr="00487E77" w:rsidRDefault="00487E77" w:rsidP="00765093">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765093">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765093">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765093">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7019A" w:rsidRPr="007B5B14" w:rsidRDefault="001C4ACD" w:rsidP="0047019A">
      <w:pPr>
        <w:pStyle w:val="XBRLTitle2"/>
        <w:spacing w:before="156" w:after="156"/>
      </w:pPr>
      <w:r w:rsidRPr="0047019A">
        <w:rPr>
          <w:rFonts w:hint="eastAsia"/>
          <w:b w:val="0"/>
        </w:rPr>
        <w:t>期末资产组合情况</w:t>
      </w:r>
    </w:p>
    <w:p w:rsidR="004C689C" w:rsidRDefault="004C689C" w:rsidP="003D4200">
      <w:pPr>
        <w:jc w:val="right"/>
      </w:pPr>
    </w:p>
    <w:p w:rsidR="004C689C" w:rsidRDefault="004C689C" w:rsidP="003D4200">
      <w:pPr>
        <w:jc w:val="right"/>
      </w:pPr>
    </w:p>
    <w:p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1"/>
        <w:gridCol w:w="1447"/>
        <w:gridCol w:w="1697"/>
        <w:gridCol w:w="1749"/>
        <w:gridCol w:w="1653"/>
        <w:gridCol w:w="1705"/>
      </w:tblGrid>
      <w:tr w:rsidR="00017B7D" w:rsidRPr="00762F4A" w:rsidTr="00017B7D">
        <w:trPr>
          <w:trHeight w:val="692"/>
          <w:jc w:val="center"/>
        </w:trPr>
        <w:tc>
          <w:tcPr>
            <w:tcW w:w="611"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rsidTr="00447A4D">
        <w:trPr>
          <w:trHeight w:val="692"/>
          <w:jc w:val="center"/>
        </w:trPr>
        <w:tc>
          <w:tcPr>
            <w:tcW w:w="611" w:type="dxa"/>
            <w:vMerge/>
            <w:shd w:val="clear" w:color="auto" w:fill="D9D9D9"/>
            <w:vAlign w:val="center"/>
          </w:tcPr>
          <w:p w:rsidR="00CC5AAE" w:rsidRPr="00762F4A" w:rsidRDefault="00CC5AAE" w:rsidP="00CC5AAE">
            <w:pPr>
              <w:jc w:val="center"/>
              <w:rPr>
                <w:rFonts w:ascii="宋体" w:hAnsi="宋体"/>
                <w:b/>
                <w:szCs w:val="21"/>
              </w:rPr>
            </w:pPr>
          </w:p>
        </w:tc>
        <w:tc>
          <w:tcPr>
            <w:tcW w:w="1447" w:type="dxa"/>
            <w:vMerge/>
            <w:shd w:val="clear" w:color="auto" w:fill="D9D9D9"/>
            <w:vAlign w:val="center"/>
          </w:tcPr>
          <w:p w:rsidR="00CC5AAE" w:rsidRPr="00762F4A" w:rsidRDefault="00CC5AAE" w:rsidP="00CC5AAE">
            <w:pPr>
              <w:jc w:val="center"/>
              <w:rPr>
                <w:rFonts w:ascii="宋体" w:hAnsi="宋体"/>
                <w:b/>
                <w:szCs w:val="21"/>
              </w:rPr>
            </w:pPr>
          </w:p>
        </w:tc>
        <w:tc>
          <w:tcPr>
            <w:tcW w:w="1697"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118.66</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21,909,211.50</w:t>
            </w:r>
          </w:p>
        </w:tc>
        <w:tc>
          <w:tcPr>
            <w:tcW w:w="1705" w:type="dxa"/>
            <w:vAlign w:val="center"/>
          </w:tcPr>
          <w:p w:rsidR="00E71726" w:rsidRPr="00BD70E0" w:rsidRDefault="00E71726" w:rsidP="00E71726">
            <w:pPr>
              <w:jc w:val="right"/>
            </w:pPr>
            <w:r w:rsidRPr="00BD70E0">
              <w:t>80.27</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21,364,117.57</w:t>
            </w:r>
          </w:p>
        </w:tc>
        <w:tc>
          <w:tcPr>
            <w:tcW w:w="1705" w:type="dxa"/>
            <w:vAlign w:val="center"/>
          </w:tcPr>
          <w:p w:rsidR="00E71726" w:rsidRPr="00BD70E0" w:rsidRDefault="00E71726" w:rsidP="00E71726">
            <w:pPr>
              <w:jc w:val="right"/>
            </w:pPr>
            <w:r w:rsidRPr="00BD70E0">
              <w:t>78.27</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545,093.93</w:t>
            </w:r>
          </w:p>
        </w:tc>
        <w:tc>
          <w:tcPr>
            <w:tcW w:w="1705" w:type="dxa"/>
            <w:vAlign w:val="center"/>
          </w:tcPr>
          <w:p w:rsidR="00E71726" w:rsidRPr="00BD70E0" w:rsidRDefault="00E71726" w:rsidP="00E71726">
            <w:pPr>
              <w:jc w:val="right"/>
            </w:pPr>
            <w:r w:rsidRPr="00BD70E0">
              <w:t>2.00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4,162,492.11</w:t>
            </w:r>
          </w:p>
        </w:tc>
        <w:tc>
          <w:tcPr>
            <w:tcW w:w="1705" w:type="dxa"/>
            <w:vAlign w:val="center"/>
          </w:tcPr>
          <w:p w:rsidR="00E71726" w:rsidRPr="00BD70E0" w:rsidRDefault="00E71726" w:rsidP="00E71726">
            <w:pPr>
              <w:jc w:val="right"/>
            </w:pPr>
            <w:r w:rsidRPr="00BD70E0">
              <w:t>15.25</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rsidR="00E71726" w:rsidRPr="00BD70E0" w:rsidRDefault="00E71726" w:rsidP="00E71726">
            <w:pPr>
              <w:jc w:val="right"/>
            </w:pPr>
            <w:r w:rsidRPr="00BD70E0">
              <w:lastRenderedPageBreak/>
              <w:t>7,234.65</w:t>
            </w:r>
          </w:p>
        </w:tc>
        <w:tc>
          <w:tcPr>
            <w:tcW w:w="1749" w:type="dxa"/>
            <w:shd w:val="clear" w:color="auto" w:fill="auto"/>
            <w:vAlign w:val="center"/>
          </w:tcPr>
          <w:p w:rsidR="00E71726" w:rsidRPr="00BD70E0" w:rsidRDefault="00E71726" w:rsidP="00E71726">
            <w:pPr>
              <w:jc w:val="right"/>
            </w:pPr>
            <w:r w:rsidRPr="00BD70E0">
              <w:t>0.03</w:t>
            </w:r>
          </w:p>
        </w:tc>
        <w:tc>
          <w:tcPr>
            <w:tcW w:w="1653" w:type="dxa"/>
            <w:vAlign w:val="center"/>
          </w:tcPr>
          <w:p w:rsidR="00E71726" w:rsidRPr="00BD70E0" w:rsidRDefault="00E71726" w:rsidP="00E71726">
            <w:pPr>
              <w:jc w:val="right"/>
            </w:pPr>
            <w:r w:rsidRPr="00BD70E0">
              <w:t>1,224,201.35</w:t>
            </w:r>
          </w:p>
        </w:tc>
        <w:tc>
          <w:tcPr>
            <w:tcW w:w="1705" w:type="dxa"/>
            <w:vAlign w:val="center"/>
          </w:tcPr>
          <w:p w:rsidR="00E71726" w:rsidRPr="00BD70E0" w:rsidRDefault="00E71726" w:rsidP="00E71726">
            <w:pPr>
              <w:jc w:val="right"/>
            </w:pPr>
            <w:r w:rsidRPr="00BD70E0">
              <w:t>4.48</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rsidR="00E71726" w:rsidRPr="00BD70E0" w:rsidRDefault="00E71726" w:rsidP="00E71726">
            <w:pPr>
              <w:jc w:val="right"/>
            </w:pPr>
            <w:r w:rsidRPr="00BD70E0">
              <w:t>27,288,819.92</w:t>
            </w:r>
          </w:p>
        </w:tc>
        <w:tc>
          <w:tcPr>
            <w:tcW w:w="1749" w:type="dxa"/>
            <w:shd w:val="clear" w:color="auto" w:fill="auto"/>
            <w:vAlign w:val="center"/>
          </w:tcPr>
          <w:p w:rsidR="00E71726" w:rsidRPr="00BD70E0" w:rsidRDefault="00E71726" w:rsidP="00E71726">
            <w:pPr>
              <w:jc w:val="right"/>
            </w:pPr>
            <w:r w:rsidRPr="00BD70E0">
              <w:t>99.97</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80.56</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shd w:val="clear" w:color="auto" w:fill="auto"/>
          </w:tcPr>
          <w:p w:rsidR="00E71726" w:rsidRPr="00762F4A" w:rsidRDefault="00E71726" w:rsidP="00E71726">
            <w:pPr>
              <w:jc w:val="left"/>
              <w:rPr>
                <w:rFonts w:ascii="宋体" w:hAnsi="宋体"/>
                <w:szCs w:val="21"/>
              </w:rPr>
            </w:pPr>
          </w:p>
        </w:tc>
        <w:tc>
          <w:tcPr>
            <w:tcW w:w="1447" w:type="dxa"/>
            <w:shd w:val="clear" w:color="auto" w:fill="auto"/>
          </w:tcPr>
          <w:p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rsidR="00E71726" w:rsidRPr="00BD70E0" w:rsidRDefault="00E71726" w:rsidP="00E71726">
            <w:pPr>
              <w:jc w:val="right"/>
            </w:pPr>
            <w:r w:rsidRPr="00BD70E0">
              <w:t>27,296,054.57</w:t>
            </w:r>
          </w:p>
        </w:tc>
        <w:tc>
          <w:tcPr>
            <w:tcW w:w="1749" w:type="dxa"/>
            <w:shd w:val="clear" w:color="auto" w:fill="auto"/>
          </w:tcPr>
          <w:p w:rsidR="00E71726" w:rsidRPr="00BD70E0" w:rsidRDefault="00E71726" w:rsidP="00E71726">
            <w:pPr>
              <w:jc w:val="right"/>
            </w:pPr>
            <w:r w:rsidRPr="00BD70E0">
              <w:t>100.00</w:t>
            </w:r>
          </w:p>
        </w:tc>
        <w:tc>
          <w:tcPr>
            <w:tcW w:w="1653" w:type="dxa"/>
          </w:tcPr>
          <w:p w:rsidR="00E71726" w:rsidRPr="00BD70E0" w:rsidRDefault="00E71726" w:rsidP="00E71726">
            <w:pPr>
              <w:jc w:val="right"/>
            </w:pPr>
            <w:r w:rsidRPr="00BD70E0">
              <w:t>27,296,104.18</w:t>
            </w:r>
          </w:p>
        </w:tc>
        <w:tc>
          <w:tcPr>
            <w:tcW w:w="1705" w:type="dxa"/>
          </w:tcPr>
          <w:p w:rsidR="00E71726" w:rsidRPr="00BD70E0" w:rsidRDefault="00E71726" w:rsidP="00E71726">
            <w:pPr>
              <w:jc w:val="right"/>
            </w:pPr>
            <w:r w:rsidRPr="00BD70E0">
              <w:t>100.00</w:t>
            </w:r>
          </w:p>
        </w:tc>
      </w:tr>
    </w:tbl>
    <w:p w:rsidR="004C689C" w:rsidRDefault="004C689C" w:rsidP="002B5C75">
      <w:pPr>
        <w:ind w:leftChars="200" w:left="420"/>
        <w:jc w:val="left"/>
        <w:rPr>
          <w:rFonts w:ascii="宋体" w:hAnsi="宋体"/>
          <w:sz w:val="24"/>
        </w:rPr>
      </w:pPr>
    </w:p>
    <w:p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rsidR="00BE7278" w:rsidRPr="00C15724" w:rsidRDefault="00CF7C5F" w:rsidP="00BE7278">
      <w:pPr>
        <w:jc w:val="left"/>
        <w:rPr>
          <w:rFonts w:asciiTheme="minorEastAsia" w:eastAsiaTheme="minorEastAsia" w:hAnsiTheme="minorEastAsia"/>
          <w:sz w:val="24"/>
        </w:rPr>
      </w:pPr>
      <w:r>
        <w:rPr>
          <w:rFonts w:ascii="宋体" w:hAnsi="宋体" w:hint="eastAsia"/>
          <w:sz w:val="24"/>
        </w:rPr>
        <w:t xml:space="preserve">   </w:t>
      </w:r>
      <w:r w:rsidR="00765093" w:rsidRPr="00BB3011">
        <w:rPr>
          <w:rFonts w:asciiTheme="minorEastAsia" w:eastAsiaTheme="minorEastAsia" w:hAnsiTheme="minorEastAsia" w:hint="eastAsia"/>
          <w:szCs w:val="21"/>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rsidR="004C689C" w:rsidRDefault="004C689C" w:rsidP="00904C28">
      <w:pPr>
        <w:widowControl/>
        <w:jc w:val="left"/>
        <w:rPr>
          <w:rFonts w:ascii="宋体" w:hAnsi="宋体"/>
          <w:sz w:val="24"/>
        </w:rPr>
      </w:pPr>
    </w:p>
    <w:p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7"/>
        <w:gridCol w:w="3159"/>
        <w:gridCol w:w="2693"/>
        <w:gridCol w:w="2431"/>
      </w:tblGrid>
      <w:tr w:rsidR="000224FE" w:rsidTr="0044179E">
        <w:trPr>
          <w:trHeight w:val="744"/>
        </w:trPr>
        <w:tc>
          <w:tcPr>
            <w:tcW w:w="777" w:type="dxa"/>
            <w:shd w:val="clear" w:color="auto" w:fill="D9D9D9"/>
            <w:vAlign w:val="center"/>
          </w:tcPr>
          <w:p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rsidTr="0044179E">
        <w:tc>
          <w:tcPr>
            <w:tcW w:w="777" w:type="dxa"/>
            <w:shd w:val="clear" w:color="auto" w:fill="auto"/>
            <w:vAlign w:val="center"/>
          </w:tcPr>
          <w:p w:rsidR="00436399" w:rsidRPr="001E73F7" w:rsidRDefault="00436399" w:rsidP="00436399">
            <w:pPr>
              <w:jc w:val="center"/>
              <w:rPr>
                <w:szCs w:val="21"/>
              </w:rPr>
            </w:pPr>
            <w:r w:rsidRPr="001E73F7">
              <w:rPr>
                <w:szCs w:val="21"/>
              </w:rPr>
              <w:t>1</w:t>
            </w:r>
          </w:p>
        </w:tc>
        <w:tc>
          <w:tcPr>
            <w:tcW w:w="3159" w:type="dxa"/>
            <w:shd w:val="clear" w:color="auto" w:fill="auto"/>
            <w:vAlign w:val="center"/>
          </w:tcPr>
          <w:p w:rsidR="00436399" w:rsidRPr="00FB6F1F" w:rsidRDefault="00436399" w:rsidP="00436399">
            <w:pPr>
              <w:rPr>
                <w:szCs w:val="21"/>
              </w:rPr>
            </w:pPr>
            <w:r w:rsidRPr="00FB6F1F">
              <w:rPr>
                <w:szCs w:val="21"/>
              </w:rPr>
              <w:t>中信证券丰收信乐</w:t>
            </w:r>
            <w:r w:rsidRPr="00FB6F1F">
              <w:rPr>
                <w:szCs w:val="21"/>
              </w:rPr>
              <w:t>1</w:t>
            </w:r>
            <w:r w:rsidRPr="00FB6F1F">
              <w:rPr>
                <w:szCs w:val="21"/>
              </w:rPr>
              <w:t>号集合资产管理计划</w:t>
            </w:r>
          </w:p>
        </w:tc>
        <w:tc>
          <w:tcPr>
            <w:tcW w:w="2693" w:type="dxa"/>
            <w:shd w:val="clear" w:color="auto" w:fill="auto"/>
            <w:vAlign w:val="center"/>
          </w:tcPr>
          <w:p w:rsidR="00436399" w:rsidRPr="001E73F7" w:rsidRDefault="00436399" w:rsidP="00436399">
            <w:pPr>
              <w:jc w:val="right"/>
            </w:pPr>
            <w:r w:rsidRPr="001E73F7">
              <w:t>27,288,819.92</w:t>
            </w:r>
          </w:p>
        </w:tc>
        <w:tc>
          <w:tcPr>
            <w:tcW w:w="2431" w:type="dxa"/>
            <w:shd w:val="clear" w:color="auto" w:fill="auto"/>
            <w:vAlign w:val="center"/>
          </w:tcPr>
          <w:p w:rsidR="00436399" w:rsidRPr="001E73F7" w:rsidRDefault="00436399" w:rsidP="00436399">
            <w:pPr>
              <w:jc w:val="right"/>
            </w:pPr>
            <w:bookmarkStart w:id="4" w:name="OLE_LINK5"/>
            <w:bookmarkStart w:id="5" w:name="OLE_LINK6"/>
            <w:r w:rsidRPr="001E73F7">
              <w:t>99.98</w:t>
            </w:r>
            <w:bookmarkEnd w:id="4"/>
            <w:bookmarkEnd w:id="5"/>
          </w:p>
        </w:tc>
      </w:tr>
    </w:tbl>
    <w:p w:rsidR="007539EE" w:rsidRPr="006E3BE7" w:rsidRDefault="00641758" w:rsidP="0035379B">
      <w:pPr>
        <w:rPr>
          <w:rFonts w:ascii="宋体" w:hAnsi="宋体"/>
          <w:sz w:val="24"/>
        </w:rPr>
      </w:pPr>
      <w:r>
        <w:rPr>
          <w:rFonts w:ascii="宋体" w:hAnsi="宋体" w:hint="eastAsia"/>
          <w:sz w:val="24"/>
        </w:rPr>
        <w:t xml:space="preserve"> </w:t>
      </w:r>
    </w:p>
    <w:p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tblPr>
      <w:tblGrid>
        <w:gridCol w:w="777"/>
        <w:gridCol w:w="3159"/>
        <w:gridCol w:w="2693"/>
        <w:gridCol w:w="2431"/>
      </w:tblGrid>
      <w:tr w:rsidR="00E26554"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R007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2,368,110.93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8.68</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R005</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1,794,381.18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6.57</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21</w:t>
            </w:r>
            <w:r>
              <w:rPr>
                <w:szCs w:val="21"/>
              </w:rPr>
              <w:t>临平</w:t>
            </w:r>
            <w:r>
              <w:rPr>
                <w:szCs w:val="21"/>
              </w:rPr>
              <w:t>Y3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1,106,331.64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4.05</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20</w:t>
            </w:r>
            <w:r>
              <w:rPr>
                <w:szCs w:val="21"/>
              </w:rPr>
              <w:t>苏园</w:t>
            </w:r>
            <w:r>
              <w:rPr>
                <w:szCs w:val="21"/>
              </w:rPr>
              <w:t>04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750,405.81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2.75</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21</w:t>
            </w:r>
            <w:r>
              <w:rPr>
                <w:szCs w:val="21"/>
              </w:rPr>
              <w:t>诸交</w:t>
            </w:r>
            <w:r>
              <w:rPr>
                <w:szCs w:val="21"/>
              </w:rPr>
              <w:t>G1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747,546.83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2.74</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20</w:t>
            </w:r>
            <w:r>
              <w:rPr>
                <w:szCs w:val="21"/>
              </w:rPr>
              <w:t>华发</w:t>
            </w:r>
            <w:r>
              <w:rPr>
                <w:szCs w:val="21"/>
              </w:rPr>
              <w:t>Y2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744,510.93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2.73</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23</w:t>
            </w:r>
            <w:r>
              <w:rPr>
                <w:szCs w:val="21"/>
              </w:rPr>
              <w:t>宜创</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729,667.99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2.67</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19</w:t>
            </w:r>
            <w:r>
              <w:rPr>
                <w:szCs w:val="21"/>
              </w:rPr>
              <w:t>龙交</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721,024.79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2.64</w:t>
            </w:r>
          </w:p>
        </w:tc>
      </w:tr>
      <w:tr w:rsidR="00277121">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7121" w:rsidRDefault="00FC0641">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580,252.38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77121" w:rsidRDefault="00FC0641">
            <w:pPr>
              <w:jc w:val="right"/>
              <w:rPr>
                <w:rFonts w:eastAsia="Times New Roman"/>
                <w:sz w:val="20"/>
              </w:rPr>
            </w:pPr>
            <w:r>
              <w:t>2.13</w:t>
            </w:r>
          </w:p>
        </w:tc>
      </w:tr>
      <w:tr w:rsidR="00091668"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Pr="00FB6F1F" w:rsidRDefault="00091668" w:rsidP="00091668">
            <w:pPr>
              <w:rPr>
                <w:sz w:val="20"/>
              </w:rPr>
            </w:pPr>
            <w:r w:rsidRPr="00FB6F1F">
              <w:rPr>
                <w:szCs w:val="21"/>
              </w:rPr>
              <w:t>21</w:t>
            </w:r>
            <w:r w:rsidRPr="00FB6F1F">
              <w:rPr>
                <w:szCs w:val="21"/>
              </w:rPr>
              <w:t>柯开</w:t>
            </w:r>
            <w:r w:rsidRPr="00FB6F1F">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561,593.59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2.06</w:t>
            </w:r>
          </w:p>
        </w:tc>
      </w:tr>
    </w:tbl>
    <w:p w:rsidR="00E26554" w:rsidRPr="00F867C5" w:rsidRDefault="00E26554" w:rsidP="00F867C5">
      <w:pPr>
        <w:spacing w:before="100" w:beforeAutospacing="1" w:after="100" w:afterAutospacing="1"/>
      </w:pPr>
      <w:r>
        <w:rPr>
          <w:rFonts w:hint="eastAsia"/>
        </w:rPr>
        <w:lastRenderedPageBreak/>
        <w:t>注：前十项资产明细仅包含证券投资、场外投资，不包含银行</w:t>
      </w:r>
      <w:r w:rsidR="00182115">
        <w:rPr>
          <w:rFonts w:hint="eastAsia"/>
        </w:rPr>
        <w:t>活期</w:t>
      </w:r>
      <w:r>
        <w:rPr>
          <w:rFonts w:hint="eastAsia"/>
        </w:rPr>
        <w:t>存款、存出保证金、清算备付金等资产。</w:t>
      </w:r>
    </w:p>
    <w:p w:rsidR="005D2052" w:rsidRPr="003463EA" w:rsidRDefault="005D2052" w:rsidP="00765093">
      <w:pPr>
        <w:pStyle w:val="XBRLTitle1"/>
        <w:spacing w:before="156" w:after="156"/>
      </w:pPr>
      <w:r w:rsidRPr="003463EA">
        <w:t>托管人报告</w:t>
      </w:r>
    </w:p>
    <w:p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rsidR="005D2052" w:rsidRPr="005D2052" w:rsidRDefault="005D2052" w:rsidP="005D2052">
      <w:pPr>
        <w:jc w:val="left"/>
        <w:rPr>
          <w:rFonts w:asciiTheme="minorEastAsia" w:eastAsiaTheme="minorEastAsia" w:hAnsiTheme="minorEastAsia"/>
          <w:szCs w:val="21"/>
        </w:rPr>
      </w:pPr>
    </w:p>
    <w:p w:rsidR="00FF15E9" w:rsidRDefault="00FF15E9">
      <w:pPr>
        <w:jc w:val="right"/>
        <w:rPr>
          <w:rFonts w:ascii="宋体" w:hAnsi="宋体"/>
          <w:sz w:val="24"/>
        </w:rPr>
      </w:pPr>
    </w:p>
    <w:p w:rsidR="00FF15E9" w:rsidRDefault="00FF15E9">
      <w:pPr>
        <w:jc w:val="right"/>
        <w:rPr>
          <w:rFonts w:ascii="宋体" w:hAnsi="宋体"/>
          <w:sz w:val="24"/>
        </w:rPr>
      </w:pPr>
    </w:p>
    <w:p w:rsidR="005E1666" w:rsidRDefault="005E1666">
      <w:pPr>
        <w:jc w:val="right"/>
        <w:rPr>
          <w:rFonts w:ascii="宋体" w:hAnsi="宋体"/>
          <w:sz w:val="24"/>
        </w:rPr>
      </w:pPr>
    </w:p>
    <w:p w:rsidR="005E1666" w:rsidRDefault="005E1666">
      <w:pPr>
        <w:jc w:val="right"/>
        <w:rPr>
          <w:rFonts w:ascii="宋体" w:hAnsi="宋体"/>
          <w:sz w:val="24"/>
        </w:rPr>
      </w:pPr>
    </w:p>
    <w:p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rsidR="005465B6" w:rsidRPr="00F64D16" w:rsidRDefault="0027180C" w:rsidP="0027180C">
      <w:pPr>
        <w:jc w:val="right"/>
        <w:rPr>
          <w:rFonts w:ascii="宋体" w:hAnsi="宋体"/>
          <w:sz w:val="28"/>
          <w:szCs w:val="28"/>
        </w:rPr>
      </w:pPr>
      <w:r>
        <w:rPr>
          <w:rFonts w:ascii="宋体" w:hAnsi="宋体"/>
          <w:sz w:val="28"/>
          <w:szCs w:val="28"/>
        </w:rPr>
        <w:t>2023-07-15</w:t>
      </w:r>
      <w:r w:rsidR="00E40C11" w:rsidRPr="00F64D16">
        <w:rPr>
          <w:rFonts w:ascii="宋体" w:hAnsi="宋体" w:hint="eastAsia"/>
          <w:sz w:val="28"/>
          <w:szCs w:val="28"/>
        </w:rPr>
        <w:t xml:space="preserve">                   </w:t>
      </w:r>
    </w:p>
    <w:sectPr w:rsidR="005465B6" w:rsidRPr="00F64D16" w:rsidSect="00084444">
      <w:footerReference w:type="even" r:id="rId8"/>
      <w:footerReference w:type="default" r:id="rId9"/>
      <w:pgSz w:w="11906" w:h="16838"/>
      <w:pgMar w:top="1440" w:right="1531" w:bottom="1134" w:left="1531"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641" w:rsidRDefault="00FC0641">
      <w:r>
        <w:separator/>
      </w:r>
    </w:p>
  </w:endnote>
  <w:endnote w:type="continuationSeparator" w:id="1">
    <w:p w:rsidR="00FC0641" w:rsidRDefault="00FC0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angSong">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444" w:rsidRDefault="00277121" w:rsidP="0093136C">
    <w:pPr>
      <w:pStyle w:val="a8"/>
      <w:framePr w:wrap="around" w:vAnchor="text" w:hAnchor="margin" w:xAlign="right" w:y="1"/>
      <w:rPr>
        <w:rStyle w:val="af0"/>
      </w:rPr>
    </w:pPr>
    <w:r>
      <w:rPr>
        <w:rStyle w:val="af0"/>
      </w:rPr>
      <w:fldChar w:fldCharType="begin"/>
    </w:r>
    <w:r w:rsidR="00084444">
      <w:rPr>
        <w:rStyle w:val="af0"/>
      </w:rPr>
      <w:instrText xml:space="preserve">PAGE  </w:instrText>
    </w:r>
    <w:r>
      <w:rPr>
        <w:rStyle w:val="af0"/>
      </w:rPr>
      <w:fldChar w:fldCharType="end"/>
    </w:r>
  </w:p>
  <w:p w:rsidR="00084444" w:rsidRDefault="00084444" w:rsidP="0008444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36C" w:rsidRDefault="0093136C" w:rsidP="003217E4">
    <w:pPr>
      <w:pStyle w:val="a8"/>
      <w:framePr w:wrap="around" w:vAnchor="text" w:hAnchor="margin" w:xAlign="right" w:y="1"/>
      <w:rPr>
        <w:rStyle w:val="af0"/>
      </w:rPr>
    </w:pPr>
    <w:r>
      <w:rPr>
        <w:rStyle w:val="af0"/>
        <w:rFonts w:hint="eastAsia"/>
      </w:rPr>
      <w:t xml:space="preserve"> </w:t>
    </w:r>
  </w:p>
  <w:p w:rsidR="005465B6" w:rsidRDefault="005465B6" w:rsidP="0093136C">
    <w:pPr>
      <w:pStyle w:val="a8"/>
      <w:ind w:righ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641" w:rsidRDefault="00FC0641">
      <w:r>
        <w:separator/>
      </w:r>
    </w:p>
  </w:footnote>
  <w:footnote w:type="continuationSeparator" w:id="1">
    <w:p w:rsidR="00FC0641" w:rsidRDefault="00FC06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77121"/>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5093"/>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0641"/>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Char"/>
    <w:uiPriority w:val="9"/>
    <w:qFormat/>
    <w:rsid w:val="00F973AF"/>
    <w:pPr>
      <w:keepNext/>
      <w:keepLines/>
      <w:spacing w:before="340" w:after="330" w:line="578" w:lineRule="auto"/>
      <w:outlineLvl w:val="0"/>
    </w:pPr>
    <w:rPr>
      <w:b/>
      <w:bCs/>
      <w:kern w:val="44"/>
      <w:sz w:val="44"/>
      <w:szCs w:val="44"/>
      <w:lang/>
    </w:rPr>
  </w:style>
  <w:style w:type="paragraph" w:styleId="2">
    <w:name w:val="heading 2"/>
    <w:basedOn w:val="a"/>
    <w:next w:val="a"/>
    <w:link w:val="2Char"/>
    <w:uiPriority w:val="9"/>
    <w:unhideWhenUsed/>
    <w:qFormat/>
    <w:rsid w:val="00F973AF"/>
    <w:pPr>
      <w:keepNext/>
      <w:keepLines/>
      <w:spacing w:before="260" w:after="260" w:line="416" w:lineRule="auto"/>
      <w:outlineLvl w:val="1"/>
    </w:pPr>
    <w:rPr>
      <w:rFonts w:ascii="Cambria" w:hAnsi="Cambria"/>
      <w:b/>
      <w:bCs/>
      <w:kern w:val="0"/>
      <w:sz w:val="32"/>
      <w:szCs w:val="32"/>
      <w:lang/>
    </w:rPr>
  </w:style>
  <w:style w:type="paragraph" w:styleId="3">
    <w:name w:val="heading 3"/>
    <w:basedOn w:val="a"/>
    <w:next w:val="a"/>
    <w:link w:val="3Char"/>
    <w:uiPriority w:val="9"/>
    <w:unhideWhenUsed/>
    <w:qFormat/>
    <w:rsid w:val="00F973AF"/>
    <w:pPr>
      <w:keepNext/>
      <w:keepLines/>
      <w:spacing w:before="260" w:after="260" w:line="416" w:lineRule="auto"/>
      <w:outlineLvl w:val="2"/>
    </w:pPr>
    <w:rPr>
      <w:b/>
      <w:bCs/>
      <w:kern w:val="0"/>
      <w:sz w:val="32"/>
      <w:szCs w:val="32"/>
      <w:lang/>
    </w:rPr>
  </w:style>
  <w:style w:type="paragraph" w:styleId="4">
    <w:name w:val="heading 4"/>
    <w:basedOn w:val="a"/>
    <w:next w:val="a"/>
    <w:link w:val="4Char"/>
    <w:semiHidden/>
    <w:unhideWhenUsed/>
    <w:qFormat/>
    <w:rsid w:val="00F973AF"/>
    <w:pPr>
      <w:keepNext/>
      <w:keepLines/>
      <w:spacing w:before="280" w:after="290" w:line="376" w:lineRule="auto"/>
      <w:outlineLvl w:val="3"/>
    </w:pPr>
    <w:rPr>
      <w:rFonts w:ascii="Cambria" w:hAnsi="Cambria"/>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F973AF"/>
    <w:rPr>
      <w:b/>
      <w:bCs/>
      <w:sz w:val="32"/>
      <w:szCs w:val="32"/>
    </w:rPr>
  </w:style>
  <w:style w:type="character" w:customStyle="1" w:styleId="CODE">
    <w:name w:val="CODE"/>
    <w:rsid w:val="00277121"/>
    <w:rPr>
      <w:rFonts w:ascii="Courier New" w:hAnsi="Courier New"/>
      <w:spacing w:val="-10"/>
      <w:sz w:val="20"/>
      <w:lang w:val="en-GB" w:eastAsia="zh-CN"/>
    </w:rPr>
  </w:style>
  <w:style w:type="character" w:styleId="a3">
    <w:name w:val="footnote reference"/>
    <w:rsid w:val="00277121"/>
    <w:rPr>
      <w:vertAlign w:val="superscript"/>
    </w:rPr>
  </w:style>
  <w:style w:type="character" w:styleId="a4">
    <w:name w:val="annotation reference"/>
    <w:rsid w:val="00277121"/>
    <w:rPr>
      <w:sz w:val="21"/>
      <w:szCs w:val="21"/>
    </w:rPr>
  </w:style>
  <w:style w:type="character" w:customStyle="1" w:styleId="Char">
    <w:name w:val="副标题 Char"/>
    <w:link w:val="a5"/>
    <w:rsid w:val="00F973AF"/>
    <w:rPr>
      <w:rFonts w:ascii="Cambria" w:eastAsia="宋体" w:hAnsi="Cambria" w:cs="Times New Roman"/>
      <w:b/>
      <w:kern w:val="28"/>
      <w:sz w:val="24"/>
      <w:szCs w:val="32"/>
    </w:rPr>
  </w:style>
  <w:style w:type="character" w:customStyle="1" w:styleId="1Char">
    <w:name w:val="标题 1 Char"/>
    <w:link w:val="1"/>
    <w:uiPriority w:val="9"/>
    <w:rsid w:val="00F973AF"/>
    <w:rPr>
      <w:b/>
      <w:bCs/>
      <w:kern w:val="44"/>
      <w:sz w:val="44"/>
      <w:szCs w:val="44"/>
    </w:rPr>
  </w:style>
  <w:style w:type="character" w:customStyle="1" w:styleId="2Char">
    <w:name w:val="标题 2 Char"/>
    <w:link w:val="2"/>
    <w:uiPriority w:val="9"/>
    <w:rsid w:val="00F973AF"/>
    <w:rPr>
      <w:rFonts w:ascii="Cambria" w:eastAsia="宋体" w:hAnsi="Cambria" w:cs="Times New Roman"/>
      <w:b/>
      <w:bCs/>
      <w:sz w:val="32"/>
      <w:szCs w:val="32"/>
    </w:rPr>
  </w:style>
  <w:style w:type="character" w:customStyle="1" w:styleId="Char0">
    <w:name w:val="标题 Char"/>
    <w:link w:val="a6"/>
    <w:uiPriority w:val="10"/>
    <w:rsid w:val="00277121"/>
    <w:rPr>
      <w:rFonts w:ascii="Cambria" w:hAnsi="Cambria" w:cs="Times New Roman"/>
      <w:b/>
      <w:bCs/>
      <w:sz w:val="32"/>
      <w:szCs w:val="32"/>
    </w:rPr>
  </w:style>
  <w:style w:type="paragraph" w:styleId="a7">
    <w:name w:val="header"/>
    <w:basedOn w:val="a"/>
    <w:rsid w:val="00277121"/>
    <w:pPr>
      <w:pBdr>
        <w:bottom w:val="single" w:sz="6" w:space="1" w:color="auto"/>
      </w:pBdr>
      <w:tabs>
        <w:tab w:val="center" w:pos="4153"/>
        <w:tab w:val="right" w:pos="8306"/>
      </w:tabs>
      <w:snapToGrid w:val="0"/>
      <w:jc w:val="center"/>
    </w:pPr>
    <w:rPr>
      <w:sz w:val="18"/>
      <w:szCs w:val="18"/>
    </w:rPr>
  </w:style>
  <w:style w:type="paragraph" w:styleId="a5">
    <w:name w:val="Subtitle"/>
    <w:basedOn w:val="2"/>
    <w:next w:val="3"/>
    <w:link w:val="Char"/>
    <w:qFormat/>
    <w:rsid w:val="00F973AF"/>
    <w:pPr>
      <w:spacing w:before="240" w:after="60" w:line="312" w:lineRule="auto"/>
      <w:jc w:val="left"/>
    </w:pPr>
    <w:rPr>
      <w:bCs w:val="0"/>
      <w:kern w:val="28"/>
      <w:sz w:val="24"/>
    </w:rPr>
  </w:style>
  <w:style w:type="paragraph" w:customStyle="1" w:styleId="xl33">
    <w:name w:val="xl33"/>
    <w:basedOn w:val="a"/>
    <w:rsid w:val="00277121"/>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8">
    <w:name w:val="footer"/>
    <w:basedOn w:val="a"/>
    <w:rsid w:val="00277121"/>
    <w:pPr>
      <w:tabs>
        <w:tab w:val="center" w:pos="4153"/>
        <w:tab w:val="right" w:pos="8306"/>
      </w:tabs>
      <w:snapToGrid w:val="0"/>
      <w:jc w:val="left"/>
    </w:pPr>
    <w:rPr>
      <w:sz w:val="18"/>
      <w:szCs w:val="18"/>
    </w:rPr>
  </w:style>
  <w:style w:type="paragraph" w:styleId="a9">
    <w:name w:val="annotation text"/>
    <w:basedOn w:val="a"/>
    <w:rsid w:val="00277121"/>
    <w:pPr>
      <w:jc w:val="left"/>
    </w:pPr>
  </w:style>
  <w:style w:type="paragraph" w:styleId="aa">
    <w:name w:val="Balloon Text"/>
    <w:basedOn w:val="a"/>
    <w:rsid w:val="00277121"/>
    <w:rPr>
      <w:sz w:val="18"/>
      <w:szCs w:val="18"/>
    </w:rPr>
  </w:style>
  <w:style w:type="paragraph" w:styleId="ab">
    <w:name w:val="footnote text"/>
    <w:basedOn w:val="a"/>
    <w:link w:val="Char1"/>
    <w:rsid w:val="00277121"/>
    <w:pPr>
      <w:snapToGrid w:val="0"/>
      <w:jc w:val="left"/>
    </w:pPr>
    <w:rPr>
      <w:sz w:val="18"/>
      <w:szCs w:val="18"/>
      <w:lang/>
    </w:rPr>
  </w:style>
  <w:style w:type="paragraph" w:styleId="ac">
    <w:name w:val="Document Map"/>
    <w:basedOn w:val="a"/>
    <w:rsid w:val="00277121"/>
    <w:pPr>
      <w:shd w:val="clear" w:color="auto" w:fill="000080"/>
    </w:pPr>
  </w:style>
  <w:style w:type="paragraph" w:styleId="ad">
    <w:name w:val="annotation subject"/>
    <w:basedOn w:val="a9"/>
    <w:next w:val="a9"/>
    <w:rsid w:val="00277121"/>
    <w:rPr>
      <w:b/>
      <w:bCs/>
    </w:rPr>
  </w:style>
  <w:style w:type="paragraph" w:customStyle="1" w:styleId="CharCharCharCharCharChar1CharCharChar">
    <w:name w:val="Char Char Char Char Char Char1 Char Char Char"/>
    <w:basedOn w:val="a"/>
    <w:rsid w:val="00277121"/>
    <w:pPr>
      <w:autoSpaceDE w:val="0"/>
      <w:autoSpaceDN w:val="0"/>
      <w:adjustRightInd w:val="0"/>
      <w:jc w:val="left"/>
      <w:textAlignment w:val="baseline"/>
    </w:pPr>
    <w:rPr>
      <w:rFonts w:ascii="宋体"/>
      <w:kern w:val="0"/>
      <w:sz w:val="34"/>
    </w:rPr>
  </w:style>
  <w:style w:type="paragraph" w:styleId="a6">
    <w:name w:val="Title"/>
    <w:basedOn w:val="1"/>
    <w:next w:val="2"/>
    <w:link w:val="Char0"/>
    <w:uiPriority w:val="10"/>
    <w:qFormat/>
    <w:rsid w:val="00277121"/>
    <w:pPr>
      <w:keepNext w:val="0"/>
      <w:keepLines w:val="0"/>
      <w:spacing w:before="240" w:after="60" w:line="240" w:lineRule="auto"/>
      <w:jc w:val="center"/>
    </w:pPr>
    <w:rPr>
      <w:rFonts w:ascii="Cambria" w:hAnsi="Cambria"/>
      <w:kern w:val="0"/>
      <w:sz w:val="32"/>
      <w:szCs w:val="32"/>
    </w:rPr>
  </w:style>
  <w:style w:type="paragraph" w:customStyle="1" w:styleId="ae">
    <w:name w:val="次标题"/>
    <w:basedOn w:val="3"/>
    <w:next w:val="a"/>
    <w:rsid w:val="00277121"/>
    <w:pPr>
      <w:jc w:val="left"/>
    </w:pPr>
    <w:rPr>
      <w:rFonts w:ascii="宋体" w:hAnsi="宋体"/>
      <w:sz w:val="24"/>
      <w:szCs w:val="24"/>
    </w:rPr>
  </w:style>
  <w:style w:type="paragraph" w:customStyle="1" w:styleId="Char2">
    <w:name w:val="Char"/>
    <w:basedOn w:val="a"/>
    <w:rsid w:val="00277121"/>
  </w:style>
  <w:style w:type="paragraph" w:styleId="af">
    <w:name w:val="Normal (Web)"/>
    <w:basedOn w:val="a"/>
    <w:rsid w:val="00277121"/>
    <w:pPr>
      <w:widowControl/>
      <w:spacing w:before="100" w:beforeAutospacing="1" w:after="100" w:afterAutospacing="1"/>
      <w:jc w:val="left"/>
    </w:pPr>
    <w:rPr>
      <w:rFonts w:ascii="宋体" w:hAnsi="宋体"/>
      <w:kern w:val="0"/>
      <w:sz w:val="24"/>
    </w:rPr>
  </w:style>
  <w:style w:type="character" w:styleId="af0">
    <w:name w:val="page number"/>
    <w:basedOn w:val="a0"/>
    <w:rsid w:val="00084444"/>
  </w:style>
  <w:style w:type="character" w:customStyle="1" w:styleId="4Char">
    <w:name w:val="标题 4 Char"/>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5"/>
    <w:next w:val="4"/>
    <w:qFormat/>
    <w:rsid w:val="00F973AF"/>
    <w:pPr>
      <w:spacing w:beforeLines="50" w:afterLines="50" w:line="240" w:lineRule="auto"/>
    </w:pPr>
    <w:rPr>
      <w:bCs/>
    </w:rPr>
  </w:style>
  <w:style w:type="paragraph" w:customStyle="1" w:styleId="XBRL3">
    <w:name w:val="XBRL标题3"/>
    <w:basedOn w:val="a5"/>
    <w:next w:val="4"/>
    <w:qFormat/>
    <w:rsid w:val="00F973AF"/>
    <w:pPr>
      <w:spacing w:beforeLines="50" w:afterLines="50" w:line="240" w:lineRule="auto"/>
      <w:outlineLvl w:val="9"/>
    </w:pPr>
    <w:rPr>
      <w:bCs/>
    </w:rPr>
  </w:style>
  <w:style w:type="paragraph" w:customStyle="1" w:styleId="XBRL4">
    <w:name w:val="XBRL标题4"/>
    <w:basedOn w:val="a5"/>
    <w:next w:val="4"/>
    <w:qFormat/>
    <w:rsid w:val="00F973AF"/>
    <w:pPr>
      <w:spacing w:beforeLines="50" w:afterLines="50" w:line="240" w:lineRule="auto"/>
      <w:outlineLvl w:val="9"/>
    </w:pPr>
    <w:rPr>
      <w:bCs/>
    </w:rPr>
  </w:style>
  <w:style w:type="paragraph" w:customStyle="1" w:styleId="XBRL5">
    <w:name w:val="XBRL标题5"/>
    <w:basedOn w:val="a5"/>
    <w:next w:val="4"/>
    <w:qFormat/>
    <w:rsid w:val="00F973AF"/>
    <w:pPr>
      <w:spacing w:beforeLines="50" w:afterLines="50" w:line="240" w:lineRule="auto"/>
      <w:outlineLvl w:val="9"/>
    </w:pPr>
    <w:rPr>
      <w:bCs/>
    </w:rPr>
  </w:style>
  <w:style w:type="paragraph" w:customStyle="1" w:styleId="XBRL6">
    <w:name w:val="XBRL标题6"/>
    <w:basedOn w:val="a5"/>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afterLines="50" w:line="240" w:lineRule="auto"/>
      <w:jc w:val="left"/>
    </w:pPr>
    <w:rPr>
      <w:rFonts w:ascii="Cambria" w:hAnsi="Cambria"/>
      <w:sz w:val="28"/>
    </w:rPr>
  </w:style>
  <w:style w:type="paragraph" w:customStyle="1" w:styleId="XBRLTitle2">
    <w:name w:val="XBRLTitle2"/>
    <w:basedOn w:val="a5"/>
    <w:next w:val="4"/>
    <w:qFormat/>
    <w:rsid w:val="00F973AF"/>
    <w:pPr>
      <w:numPr>
        <w:ilvl w:val="1"/>
        <w:numId w:val="6"/>
      </w:numPr>
      <w:spacing w:beforeLines="50" w:afterLines="50" w:line="240" w:lineRule="auto"/>
    </w:pPr>
    <w:rPr>
      <w:bCs/>
    </w:rPr>
  </w:style>
  <w:style w:type="paragraph" w:customStyle="1" w:styleId="XBRLTitle3">
    <w:name w:val="XBRLTitle3"/>
    <w:basedOn w:val="a5"/>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5"/>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5"/>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5"/>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Char1">
    <w:name w:val="脚注文本 Char"/>
    <w:link w:val="ab"/>
    <w:rsid w:val="00397112"/>
    <w:rPr>
      <w:kern w:val="2"/>
      <w:sz w:val="18"/>
      <w:szCs w:val="18"/>
    </w:rPr>
  </w:style>
  <w:style w:type="paragraph" w:styleId="af1">
    <w:name w:val="Date"/>
    <w:basedOn w:val="a"/>
    <w:next w:val="a"/>
    <w:link w:val="Char3"/>
    <w:rsid w:val="00397112"/>
    <w:rPr>
      <w:rFonts w:ascii="宋体"/>
      <w:sz w:val="32"/>
      <w:lang/>
    </w:rPr>
  </w:style>
  <w:style w:type="character" w:customStyle="1" w:styleId="Char3">
    <w:name w:val="日期 Char"/>
    <w:link w:val="af1"/>
    <w:rsid w:val="00397112"/>
    <w:rPr>
      <w:rFonts w:ascii="宋体"/>
      <w:kern w:val="2"/>
      <w:sz w:val="32"/>
    </w:rPr>
  </w:style>
  <w:style w:type="table" w:styleId="af2">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487E77"/>
    <w:pPr>
      <w:ind w:firstLineChars="200" w:firstLine="420"/>
    </w:pPr>
  </w:style>
  <w:style w:type="paragraph" w:customStyle="1" w:styleId="Char4">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EB689-16BA-4565-9A6E-625CBFB7C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365</Words>
  <Characters>2083</Characters>
  <Application>Microsoft Office Word</Application>
  <DocSecurity>0</DocSecurity>
  <PresentationFormat/>
  <Lines>17</Lines>
  <Paragraphs>4</Paragraphs>
  <Slides>0</Slides>
  <Notes>0</Notes>
  <HiddenSlides>0</HiddenSlides>
  <MMClips>0</MMClips>
  <ScaleCrop>false</ScaleCrop>
  <Company>Lenovo</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杨若澜</cp:lastModifiedBy>
  <cp:revision>51</cp:revision>
  <cp:lastPrinted>1899-12-31T16:00:00Z</cp:lastPrinted>
  <dcterms:created xsi:type="dcterms:W3CDTF">2021-04-23T07:42:00Z</dcterms:created>
  <dcterms:modified xsi:type="dcterms:W3CDTF">2023-10-08T06:59:00Z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