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465B6" w:rsidRDefault="005465B6">
      <w:pPr>
        <w:rPr>
          <w:sz w:val="48"/>
        </w:rPr>
      </w:pPr>
    </w:p>
    <w:p w:rsidR="005465B6" w:rsidRDefault="005465B6">
      <w:pPr>
        <w:rPr>
          <w:sz w:val="48"/>
        </w:rPr>
      </w:pPr>
    </w:p>
    <w:p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浙江南浔农商行丰收信福2023年第四期人民币封闭净值型理财产品</w:t>
      </w:r>
    </w:p>
    <w:p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2023年半年度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浙江南浔农村商业银行股份有限公司</w:t>
      </w:r>
    </w:p>
    <w:p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5465B6" w:rsidRPr="00674BE7" w:rsidRDefault="005465B6" w:rsidP="0093136C">
      <w:pPr>
        <w:rPr>
          <w:rFonts w:ascii="宋体" w:hAnsi="宋体"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bookmarkStart w:id="0" w:name="_GoBack"/>
      <w:bookmarkEnd w:id="0"/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2023-02-23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2023-06-30</w:t>
      </w:r>
      <w:r>
        <w:rPr>
          <w:rFonts w:ascii="宋体" w:hAnsi="宋体"/>
          <w:szCs w:val="21"/>
        </w:rPr>
        <w:t>止。</w:t>
      </w:r>
    </w:p>
    <w:p w:rsidR="005465B6" w:rsidRDefault="0024340D" w:rsidP="00B94188">
      <w:pPr>
        <w:pStyle w:val="XBRLTitle1"/>
        <w:spacing w:before="156" w:after="156"/>
      </w:pPr>
      <w:r>
        <w:rPr>
          <w:rFonts w:hint="eastAsia"/>
        </w:rPr>
        <w:t>产品</w:t>
      </w:r>
      <w:r w:rsidR="0082723D" w:rsidRPr="0082723D">
        <w:rPr>
          <w:rFonts w:hint="eastAsia"/>
        </w:rPr>
        <w:t>基本情况</w:t>
      </w:r>
      <w:r w:rsidR="00863246">
        <w:rPr>
          <w:rFonts w:hint="eastAsia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8"/>
        <w:gridCol w:w="5027"/>
      </w:tblGrid>
      <w:tr w:rsidR="00A80900" w:rsidTr="00C34D32">
        <w:trPr>
          <w:trHeight w:val="304"/>
        </w:trPr>
        <w:tc>
          <w:tcPr>
            <w:tcW w:w="3838" w:type="dxa"/>
            <w:vAlign w:val="center"/>
          </w:tcPr>
          <w:p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浙江南浔农商行丰收信福2023年第四期人民币封闭净值型理财产品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C1124523000004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浙江南浔农村商业银行股份有限公司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2023-02-23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2024-04-26</w:t>
            </w:r>
          </w:p>
        </w:tc>
      </w:tr>
      <w:tr w:rsidR="004E5C17" w:rsidTr="00AD6DD4">
        <w:trPr>
          <w:trHeight w:val="321"/>
        </w:trPr>
        <w:tc>
          <w:tcPr>
            <w:tcW w:w="3838" w:type="dxa"/>
            <w:vAlign w:val="center"/>
          </w:tcPr>
          <w:p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1" w:name="OLE_LINK1"/>
            <w:r>
              <w:rPr>
                <w:rFonts w:ascii="宋体" w:hAnsi="宋体" w:hint="eastAsia"/>
              </w:rPr>
              <w:t>3,820,000.00</w:t>
            </w:r>
            <w:bookmarkEnd w:id="1"/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[3%-4.1%]/年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B91227" w:rsidRPr="00B91227" w:rsidRDefault="0024340D" w:rsidP="00B94188">
      <w:pPr>
        <w:pStyle w:val="XBRLTitle1"/>
        <w:spacing w:before="156" w:after="156"/>
      </w:pPr>
      <w:r>
        <w:rPr>
          <w:rFonts w:hint="eastAsia"/>
        </w:rPr>
        <w:t>产品收益</w:t>
      </w:r>
      <w:r w:rsidR="0082723D" w:rsidRPr="0082723D"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53"/>
        <w:gridCol w:w="5103"/>
      </w:tblGrid>
      <w:tr w:rsidR="000811DB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:rsidTr="006876F4">
        <w:trPr>
          <w:trHeight w:val="556"/>
        </w:trPr>
        <w:tc>
          <w:tcPr>
            <w:tcW w:w="3853" w:type="dxa"/>
            <w:vAlign w:val="center"/>
          </w:tcPr>
          <w:p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2023-02-23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2023-06-30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0811DB" w:rsidRPr="00A2617B" w:rsidRDefault="00037456" w:rsidP="00D31FD3">
            <w:pPr>
              <w:jc w:val="right"/>
            </w:pPr>
            <w:r w:rsidRPr="00A2617B">
              <w:t>1.06</w:t>
            </w:r>
          </w:p>
        </w:tc>
      </w:tr>
      <w:tr w:rsidR="006876F4" w:rsidTr="006876F4">
        <w:trPr>
          <w:trHeight w:val="556"/>
        </w:trPr>
        <w:tc>
          <w:tcPr>
            <w:tcW w:w="3853" w:type="dxa"/>
            <w:vAlign w:val="center"/>
          </w:tcPr>
          <w:p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1.06</w:t>
            </w:r>
            <w:bookmarkStart w:id="2" w:name="OLE_LINK4"/>
            <w:bookmarkStart w:id="3" w:name="OLE_LINK7"/>
            <w:bookmarkEnd w:id="2"/>
            <w:bookmarkEnd w:id="3"/>
          </w:p>
        </w:tc>
      </w:tr>
    </w:tbl>
    <w:p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6E2B12" w:rsidRDefault="006E2B12" w:rsidP="00B94188">
      <w:pPr>
        <w:pStyle w:val="XBRLTitle1"/>
        <w:spacing w:before="156" w:after="156"/>
      </w:pPr>
      <w:r w:rsidRPr="006E2B12">
        <w:rPr>
          <w:rFonts w:hint="eastAsia"/>
        </w:rPr>
        <w:lastRenderedPageBreak/>
        <w:t>主要财务指标</w:t>
      </w:r>
    </w:p>
    <w:p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8"/>
        <w:gridCol w:w="5027"/>
      </w:tblGrid>
      <w:tr w:rsidR="006955BF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2023-02-23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2023-06-30</w:t>
            </w:r>
          </w:p>
        </w:tc>
      </w:tr>
      <w:tr w:rsidR="00D96BE6">
        <w:trPr>
          <w:trHeight w:val="304"/>
        </w:trPr>
        <w:tc>
          <w:tcPr>
            <w:tcW w:w="3838" w:type="dxa"/>
            <w:vAlign w:val="center"/>
          </w:tcPr>
          <w:p w:rsidR="00D96BE6" w:rsidRDefault="008510A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D96BE6" w:rsidRDefault="008510A0">
            <w:pPr>
              <w:jc w:val="right"/>
            </w:pPr>
            <w:r>
              <w:t>-200.26</w:t>
            </w:r>
          </w:p>
        </w:tc>
      </w:tr>
      <w:tr w:rsidR="00D96BE6">
        <w:trPr>
          <w:trHeight w:val="304"/>
        </w:trPr>
        <w:tc>
          <w:tcPr>
            <w:tcW w:w="3838" w:type="dxa"/>
            <w:vAlign w:val="center"/>
          </w:tcPr>
          <w:p w:rsidR="00D96BE6" w:rsidRDefault="008510A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D96BE6" w:rsidRDefault="008510A0">
            <w:pPr>
              <w:jc w:val="right"/>
            </w:pPr>
            <w:r>
              <w:t>40,673.74</w:t>
            </w:r>
          </w:p>
        </w:tc>
      </w:tr>
      <w:tr w:rsidR="00D96BE6">
        <w:trPr>
          <w:trHeight w:val="304"/>
        </w:trPr>
        <w:tc>
          <w:tcPr>
            <w:tcW w:w="3838" w:type="dxa"/>
            <w:vAlign w:val="center"/>
          </w:tcPr>
          <w:p w:rsidR="00D96BE6" w:rsidRDefault="008510A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D96BE6" w:rsidRDefault="008510A0">
            <w:pPr>
              <w:jc w:val="right"/>
            </w:pPr>
            <w:r>
              <w:t>3,860,673.74</w:t>
            </w:r>
          </w:p>
        </w:tc>
      </w:tr>
      <w:tr w:rsidR="00664F5A">
        <w:trPr>
          <w:trHeight w:val="304"/>
        </w:trPr>
        <w:tc>
          <w:tcPr>
            <w:tcW w:w="3838" w:type="dxa"/>
            <w:vAlign w:val="center"/>
          </w:tcPr>
          <w:p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664F5A" w:rsidRPr="00BD70E0" w:rsidRDefault="00664F5A" w:rsidP="00664F5A">
            <w:pPr>
              <w:jc w:val="right"/>
            </w:pPr>
            <w:r w:rsidRPr="00BD70E0">
              <w:t>1.0106</w:t>
            </w:r>
          </w:p>
        </w:tc>
      </w:tr>
    </w:tbl>
    <w:p w:rsidR="00664F5A" w:rsidRDefault="00664F5A" w:rsidP="00664F5A">
      <w:pPr>
        <w:tabs>
          <w:tab w:val="left" w:pos="3135"/>
        </w:tabs>
        <w:ind w:leftChars="200" w:left="420"/>
      </w:pPr>
    </w:p>
    <w:p w:rsidR="001C4ACD" w:rsidRDefault="001C4ACD" w:rsidP="00B94188">
      <w:pPr>
        <w:pStyle w:val="XBRLTitle1"/>
        <w:spacing w:before="156" w:after="156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:rsidR="00487E77" w:rsidRPr="00487E77" w:rsidRDefault="00487E77" w:rsidP="00674BE7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674BE7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674BE7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674BE7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7019A" w:rsidRPr="007B5B14" w:rsidRDefault="001C4ACD" w:rsidP="0047019A">
      <w:pPr>
        <w:pStyle w:val="XBRLTitle2"/>
        <w:spacing w:before="156" w:after="156"/>
      </w:pPr>
      <w:r w:rsidRPr="0047019A">
        <w:rPr>
          <w:rFonts w:hint="eastAsia"/>
          <w:b w:val="0"/>
        </w:rPr>
        <w:t>期末资产组合情况</w:t>
      </w:r>
    </w:p>
    <w:p w:rsidR="004C689C" w:rsidRDefault="004C689C" w:rsidP="003D4200">
      <w:pPr>
        <w:jc w:val="right"/>
      </w:pPr>
    </w:p>
    <w:p w:rsidR="004C689C" w:rsidRDefault="004C689C" w:rsidP="003D4200">
      <w:pPr>
        <w:jc w:val="right"/>
      </w:pPr>
    </w:p>
    <w:p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4,644,428.89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120.29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4,644,428.89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120.29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11,633.23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0.30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3,860,874.00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3,860,874.00</w:t>
            </w:r>
          </w:p>
        </w:tc>
        <w:tc>
          <w:tcPr>
            <w:tcW w:w="1749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:rsidR="00E71726" w:rsidRPr="00BD70E0" w:rsidRDefault="00E71726" w:rsidP="00E71726">
            <w:pPr>
              <w:jc w:val="right"/>
            </w:pPr>
            <w:r w:rsidRPr="00BD70E0">
              <w:t>4,656,062.12</w:t>
            </w:r>
          </w:p>
        </w:tc>
        <w:tc>
          <w:tcPr>
            <w:tcW w:w="1705" w:type="dxa"/>
          </w:tcPr>
          <w:p w:rsidR="00E71726" w:rsidRPr="00BD70E0" w:rsidRDefault="00E71726" w:rsidP="00E71726">
            <w:pPr>
              <w:jc w:val="right"/>
            </w:pPr>
            <w:r w:rsidRPr="00BD70E0">
              <w:t>120.60</w:t>
            </w:r>
          </w:p>
        </w:tc>
      </w:tr>
    </w:tbl>
    <w:p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:rsidR="00CD017B" w:rsidRPr="00A97609" w:rsidRDefault="00A97609" w:rsidP="00A97609">
      <w:pPr>
        <w:pStyle w:val="XBRLTitle2"/>
        <w:spacing w:before="156" w:after="156"/>
        <w:rPr>
          <w:b w:val="0"/>
        </w:rPr>
      </w:pPr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</w:rPr>
        <w:t>性</w:t>
      </w:r>
      <w:r w:rsidRPr="00A97609">
        <w:rPr>
          <w:b w:val="0"/>
        </w:rPr>
        <w:t>风险分析</w:t>
      </w:r>
    </w:p>
    <w:p w:rsidR="00BE7278" w:rsidRPr="00674BE7" w:rsidRDefault="00674BE7" w:rsidP="00674BE7">
      <w:pPr>
        <w:spacing w:line="360" w:lineRule="auto"/>
        <w:ind w:firstLineChars="200" w:firstLine="420"/>
      </w:pPr>
      <w:r>
        <w:rPr>
          <w:rFonts w:ascii="宋体" w:hAnsi="宋体" w:hint="eastAsia"/>
        </w:rPr>
        <w:t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投资资产原则按照期限匹配进行配置，主要风险为存续期内的信用风险，对资产流动性要求一般，流动性风险较小</w:t>
      </w:r>
      <w:r>
        <w:rPr>
          <w:rFonts w:hint="eastAsia"/>
        </w:rPr>
        <w:t>。</w:t>
      </w:r>
    </w:p>
    <w:p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:rsidR="0024340D" w:rsidRPr="0024340D" w:rsidRDefault="0024340D" w:rsidP="0024340D">
      <w:pPr>
        <w:pStyle w:val="XBRLTitle2"/>
        <w:spacing w:before="156" w:after="156"/>
        <w:rPr>
          <w:b w:val="0"/>
        </w:rPr>
      </w:pPr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</w:p>
    <w:p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7"/>
        <w:gridCol w:w="3159"/>
        <w:gridCol w:w="2693"/>
        <w:gridCol w:w="2431"/>
      </w:tblGrid>
      <w:tr w:rsidR="000224FE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:rsidTr="0044179E">
        <w:tc>
          <w:tcPr>
            <w:tcW w:w="777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中信证券丰收信丰</w:t>
            </w:r>
            <w:r w:rsidRPr="00FB6F1F">
              <w:rPr>
                <w:szCs w:val="21"/>
              </w:rPr>
              <w:t>4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r w:rsidRPr="001E73F7">
              <w:t>3,860,874.00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bookmarkStart w:id="4" w:name="OLE_LINK5"/>
            <w:bookmarkStart w:id="5" w:name="OLE_LINK6"/>
            <w:r w:rsidRPr="001E73F7">
              <w:t>100.01</w:t>
            </w:r>
            <w:bookmarkEnd w:id="4"/>
            <w:bookmarkEnd w:id="5"/>
          </w:p>
        </w:tc>
      </w:tr>
    </w:tbl>
    <w:p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:rsidR="00E26554" w:rsidRPr="00E26554" w:rsidRDefault="00E26554" w:rsidP="00E26554">
      <w:pPr>
        <w:pStyle w:val="XBRLTitle2"/>
        <w:spacing w:before="156" w:after="156"/>
        <w:rPr>
          <w:b w:val="0"/>
        </w:rPr>
      </w:pPr>
      <w:r w:rsidRPr="00E26554">
        <w:rPr>
          <w:rFonts w:hint="eastAsia"/>
          <w:b w:val="0"/>
        </w:rPr>
        <w:t>报告期末占资产净值比例大小排序的前十项资产明细（穿透后）</w:t>
      </w:r>
    </w:p>
    <w:p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/>
      </w:tblPr>
      <w:tblGrid>
        <w:gridCol w:w="777"/>
        <w:gridCol w:w="3159"/>
        <w:gridCol w:w="2693"/>
        <w:gridCol w:w="2431"/>
      </w:tblGrid>
      <w:tr w:rsidR="00E26554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D96BE6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新高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jc w:val="right"/>
              <w:rPr>
                <w:rFonts w:eastAsia="Times New Roman"/>
                <w:sz w:val="20"/>
              </w:rPr>
            </w:pPr>
            <w:r>
              <w:t>372,228.43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jc w:val="right"/>
              <w:rPr>
                <w:rFonts w:eastAsia="Times New Roman"/>
                <w:sz w:val="20"/>
              </w:rPr>
            </w:pPr>
            <w:r>
              <w:t>9.64</w:t>
            </w:r>
          </w:p>
        </w:tc>
      </w:tr>
      <w:tr w:rsidR="00D96BE6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东泰</w:t>
            </w:r>
            <w:r>
              <w:rPr>
                <w:szCs w:val="21"/>
              </w:rPr>
              <w:t>D1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jc w:val="right"/>
              <w:rPr>
                <w:rFonts w:eastAsia="Times New Roman"/>
                <w:sz w:val="20"/>
              </w:rPr>
            </w:pPr>
            <w:r>
              <w:t>369,430.39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jc w:val="right"/>
              <w:rPr>
                <w:rFonts w:eastAsia="Times New Roman"/>
                <w:sz w:val="20"/>
              </w:rPr>
            </w:pPr>
            <w:r>
              <w:t>9.57</w:t>
            </w:r>
          </w:p>
        </w:tc>
      </w:tr>
      <w:tr w:rsidR="00D96BE6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柯建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jc w:val="right"/>
              <w:rPr>
                <w:rFonts w:eastAsia="Times New Roman"/>
                <w:sz w:val="20"/>
              </w:rPr>
            </w:pPr>
            <w:r>
              <w:t>340,882.68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jc w:val="right"/>
              <w:rPr>
                <w:rFonts w:eastAsia="Times New Roman"/>
                <w:sz w:val="20"/>
              </w:rPr>
            </w:pPr>
            <w:r>
              <w:t>8.83</w:t>
            </w:r>
          </w:p>
        </w:tc>
      </w:tr>
      <w:tr w:rsidR="00D96BE6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嵊南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jc w:val="right"/>
              <w:rPr>
                <w:rFonts w:eastAsia="Times New Roman"/>
                <w:sz w:val="20"/>
              </w:rPr>
            </w:pPr>
            <w:r>
              <w:t>337,453.93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jc w:val="right"/>
              <w:rPr>
                <w:rFonts w:eastAsia="Times New Roman"/>
                <w:sz w:val="20"/>
              </w:rPr>
            </w:pPr>
            <w:r>
              <w:t>8.74</w:t>
            </w:r>
          </w:p>
        </w:tc>
      </w:tr>
      <w:tr w:rsidR="00D96BE6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玉环</w:t>
            </w:r>
            <w:r>
              <w:rPr>
                <w:szCs w:val="21"/>
              </w:rPr>
              <w:t>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jc w:val="right"/>
              <w:rPr>
                <w:rFonts w:eastAsia="Times New Roman"/>
                <w:sz w:val="20"/>
              </w:rPr>
            </w:pPr>
            <w:r>
              <w:t>337,249.13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jc w:val="right"/>
              <w:rPr>
                <w:rFonts w:eastAsia="Times New Roman"/>
                <w:sz w:val="20"/>
              </w:rPr>
            </w:pPr>
            <w:r>
              <w:t>8.74</w:t>
            </w:r>
          </w:p>
        </w:tc>
      </w:tr>
      <w:tr w:rsidR="00D96BE6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金坛</w:t>
            </w:r>
            <w:r>
              <w:rPr>
                <w:szCs w:val="21"/>
              </w:rPr>
              <w:t>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jc w:val="right"/>
              <w:rPr>
                <w:rFonts w:eastAsia="Times New Roman"/>
                <w:sz w:val="20"/>
              </w:rPr>
            </w:pPr>
            <w:r>
              <w:t>269,418.60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jc w:val="right"/>
              <w:rPr>
                <w:rFonts w:eastAsia="Times New Roman"/>
                <w:sz w:val="20"/>
              </w:rPr>
            </w:pPr>
            <w:r>
              <w:t>6.98</w:t>
            </w:r>
          </w:p>
        </w:tc>
      </w:tr>
      <w:tr w:rsidR="00D96BE6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嵊城</w:t>
            </w:r>
            <w:r>
              <w:rPr>
                <w:szCs w:val="21"/>
              </w:rPr>
              <w:t>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jc w:val="right"/>
              <w:rPr>
                <w:rFonts w:eastAsia="Times New Roman"/>
                <w:sz w:val="20"/>
              </w:rPr>
            </w:pPr>
            <w:r>
              <w:t>264,003.02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jc w:val="right"/>
              <w:rPr>
                <w:rFonts w:eastAsia="Times New Roman"/>
                <w:sz w:val="20"/>
              </w:rPr>
            </w:pPr>
            <w:r>
              <w:t>6.84</w:t>
            </w:r>
          </w:p>
        </w:tc>
      </w:tr>
      <w:tr w:rsidR="00D96BE6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九江富和</w:t>
            </w:r>
            <w:r>
              <w:rPr>
                <w:szCs w:val="21"/>
              </w:rPr>
              <w:t>PPN002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jc w:val="right"/>
              <w:rPr>
                <w:rFonts w:eastAsia="Times New Roman"/>
                <w:sz w:val="20"/>
              </w:rPr>
            </w:pPr>
            <w:r>
              <w:t>263,254.69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jc w:val="right"/>
              <w:rPr>
                <w:rFonts w:eastAsia="Times New Roman"/>
                <w:sz w:val="20"/>
              </w:rPr>
            </w:pPr>
            <w:r>
              <w:t>6.82</w:t>
            </w:r>
          </w:p>
        </w:tc>
      </w:tr>
      <w:tr w:rsidR="00D96BE6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spacing w:before="100" w:beforeAutospacing="1" w:after="100" w:afterAutospacing="1"/>
            </w:pPr>
            <w:r>
              <w:lastRenderedPageBreak/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溧城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jc w:val="right"/>
              <w:rPr>
                <w:rFonts w:eastAsia="Times New Roman"/>
                <w:sz w:val="20"/>
              </w:rPr>
            </w:pPr>
            <w:r>
              <w:t>262,842.67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BE6" w:rsidRDefault="008510A0">
            <w:pPr>
              <w:jc w:val="right"/>
              <w:rPr>
                <w:rFonts w:eastAsia="Times New Roman"/>
                <w:sz w:val="20"/>
              </w:rPr>
            </w:pPr>
            <w:r>
              <w:t>6.81</w:t>
            </w:r>
          </w:p>
        </w:tc>
      </w:tr>
      <w:tr w:rsidR="00091668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21</w:t>
            </w:r>
            <w:r w:rsidRPr="00FB6F1F">
              <w:rPr>
                <w:szCs w:val="21"/>
              </w:rPr>
              <w:t>泗阳</w:t>
            </w:r>
            <w:r w:rsidRPr="00FB6F1F"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262,652.72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6.80</w:t>
            </w:r>
          </w:p>
        </w:tc>
      </w:tr>
    </w:tbl>
    <w:p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:rsidR="005D2052" w:rsidRPr="003463EA" w:rsidRDefault="005D2052" w:rsidP="00B94188">
      <w:pPr>
        <w:pStyle w:val="XBRLTitle1"/>
        <w:spacing w:before="156" w:after="156"/>
      </w:pPr>
      <w:r w:rsidRPr="003463EA">
        <w:t>托管人报告</w:t>
      </w:r>
    </w:p>
    <w:p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浙江南浔农村商业银行股份有限公司</w:t>
      </w:r>
    </w:p>
    <w:p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2023-07-15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CA2" w:rsidRDefault="00460CA2">
      <w:r>
        <w:separator/>
      </w:r>
    </w:p>
  </w:endnote>
  <w:endnote w:type="continuationSeparator" w:id="1">
    <w:p w:rsidR="00460CA2" w:rsidRDefault="00460C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FangSong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444" w:rsidRDefault="00492B9A" w:rsidP="0093136C">
    <w:pPr>
      <w:pStyle w:val="a8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084444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84444" w:rsidRDefault="00084444" w:rsidP="0008444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36C" w:rsidRDefault="0093136C" w:rsidP="003217E4">
    <w:pPr>
      <w:pStyle w:val="a8"/>
      <w:framePr w:wrap="around" w:vAnchor="text" w:hAnchor="margin" w:xAlign="right" w:y="1"/>
      <w:rPr>
        <w:rStyle w:val="af0"/>
      </w:rPr>
    </w:pPr>
    <w:r>
      <w:rPr>
        <w:rStyle w:val="af0"/>
        <w:rFonts w:hint="eastAsia"/>
      </w:rPr>
      <w:t xml:space="preserve"> </w:t>
    </w:r>
  </w:p>
  <w:p w:rsidR="005465B6" w:rsidRDefault="005465B6" w:rsidP="0093136C">
    <w:pPr>
      <w:pStyle w:val="a8"/>
      <w:ind w:right="108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CA2" w:rsidRDefault="00460CA2">
      <w:r>
        <w:separator/>
      </w:r>
    </w:p>
  </w:footnote>
  <w:footnote w:type="continuationSeparator" w:id="1">
    <w:p w:rsidR="00460CA2" w:rsidRDefault="00460C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1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activeWritingStyle w:appName="MSWord" w:lang="zh-CN" w:vendorID="64" w:dllVersion="131077" w:nlCheck="1" w:checkStyle="1"/>
  <w:activeWritingStyle w:appName="MSWord" w:lang="en-US" w:vendorID="64" w:dllVersion="131078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0CA2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2B9A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4BE7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0A0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188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96BE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sid w:val="00D96BE6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sid w:val="00D96BE6"/>
    <w:rPr>
      <w:vertAlign w:val="superscript"/>
    </w:rPr>
  </w:style>
  <w:style w:type="character" w:styleId="a4">
    <w:name w:val="annotation reference"/>
    <w:rsid w:val="00D96BE6"/>
    <w:rPr>
      <w:sz w:val="21"/>
      <w:szCs w:val="21"/>
    </w:rPr>
  </w:style>
  <w:style w:type="character" w:customStyle="1" w:styleId="Char">
    <w:name w:val="副标题 Char"/>
    <w:link w:val="a5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标题 Char"/>
    <w:link w:val="a6"/>
    <w:uiPriority w:val="10"/>
    <w:rsid w:val="00D96BE6"/>
    <w:rPr>
      <w:rFonts w:ascii="Cambria" w:hAnsi="Cambria" w:cs="Times New Roman"/>
      <w:b/>
      <w:bCs/>
      <w:sz w:val="32"/>
      <w:szCs w:val="32"/>
    </w:rPr>
  </w:style>
  <w:style w:type="paragraph" w:styleId="a7">
    <w:name w:val="header"/>
    <w:basedOn w:val="a"/>
    <w:rsid w:val="00D96B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2"/>
    <w:next w:val="3"/>
    <w:link w:val="Char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rsid w:val="00D96BE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8">
    <w:name w:val="footer"/>
    <w:basedOn w:val="a"/>
    <w:rsid w:val="00D96B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annotation text"/>
    <w:basedOn w:val="a"/>
    <w:rsid w:val="00D96BE6"/>
    <w:pPr>
      <w:jc w:val="left"/>
    </w:pPr>
  </w:style>
  <w:style w:type="paragraph" w:styleId="aa">
    <w:name w:val="Balloon Text"/>
    <w:basedOn w:val="a"/>
    <w:rsid w:val="00D96BE6"/>
    <w:rPr>
      <w:sz w:val="18"/>
      <w:szCs w:val="18"/>
    </w:rPr>
  </w:style>
  <w:style w:type="paragraph" w:styleId="ab">
    <w:name w:val="footnote text"/>
    <w:basedOn w:val="a"/>
    <w:link w:val="Char1"/>
    <w:rsid w:val="00D96BE6"/>
    <w:pPr>
      <w:snapToGrid w:val="0"/>
      <w:jc w:val="left"/>
    </w:pPr>
    <w:rPr>
      <w:sz w:val="18"/>
      <w:szCs w:val="18"/>
    </w:rPr>
  </w:style>
  <w:style w:type="paragraph" w:styleId="ac">
    <w:name w:val="Document Map"/>
    <w:basedOn w:val="a"/>
    <w:rsid w:val="00D96BE6"/>
    <w:pPr>
      <w:shd w:val="clear" w:color="auto" w:fill="000080"/>
    </w:pPr>
  </w:style>
  <w:style w:type="paragraph" w:styleId="ad">
    <w:name w:val="annotation subject"/>
    <w:basedOn w:val="a9"/>
    <w:next w:val="a9"/>
    <w:rsid w:val="00D96BE6"/>
    <w:rPr>
      <w:b/>
      <w:bCs/>
    </w:rPr>
  </w:style>
  <w:style w:type="paragraph" w:customStyle="1" w:styleId="CharCharCharCharCharChar1CharCharChar">
    <w:name w:val="Char Char Char Char Char Char1 Char Char Char"/>
    <w:basedOn w:val="a"/>
    <w:rsid w:val="00D96BE6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6">
    <w:name w:val="Title"/>
    <w:basedOn w:val="1"/>
    <w:next w:val="2"/>
    <w:link w:val="Char0"/>
    <w:uiPriority w:val="10"/>
    <w:qFormat/>
    <w:rsid w:val="00D96BE6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e">
    <w:name w:val="次标题"/>
    <w:basedOn w:val="3"/>
    <w:next w:val="a"/>
    <w:rsid w:val="00D96BE6"/>
    <w:pPr>
      <w:jc w:val="left"/>
    </w:pPr>
    <w:rPr>
      <w:rFonts w:ascii="宋体" w:hAnsi="宋体"/>
      <w:sz w:val="24"/>
      <w:szCs w:val="24"/>
    </w:rPr>
  </w:style>
  <w:style w:type="paragraph" w:customStyle="1" w:styleId="Char2">
    <w:name w:val="Char"/>
    <w:basedOn w:val="a"/>
    <w:rsid w:val="00D96BE6"/>
  </w:style>
  <w:style w:type="paragraph" w:styleId="af">
    <w:name w:val="Normal (Web)"/>
    <w:basedOn w:val="a"/>
    <w:rsid w:val="00D96BE6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0">
    <w:name w:val="page number"/>
    <w:basedOn w:val="a0"/>
    <w:rsid w:val="00084444"/>
  </w:style>
  <w:style w:type="character" w:customStyle="1" w:styleId="4Char">
    <w:name w:val="标题 4 Char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5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afterLines="50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5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5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5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5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5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Char1">
    <w:name w:val="脚注文本 Char"/>
    <w:link w:val="ab"/>
    <w:rsid w:val="00397112"/>
    <w:rPr>
      <w:kern w:val="2"/>
      <w:sz w:val="18"/>
      <w:szCs w:val="18"/>
    </w:rPr>
  </w:style>
  <w:style w:type="paragraph" w:styleId="af1">
    <w:name w:val="Date"/>
    <w:basedOn w:val="a"/>
    <w:next w:val="a"/>
    <w:link w:val="Char3"/>
    <w:rsid w:val="00397112"/>
    <w:rPr>
      <w:rFonts w:ascii="宋体"/>
      <w:sz w:val="32"/>
    </w:rPr>
  </w:style>
  <w:style w:type="character" w:customStyle="1" w:styleId="Char3">
    <w:name w:val="日期 Char"/>
    <w:link w:val="af1"/>
    <w:rsid w:val="00397112"/>
    <w:rPr>
      <w:rFonts w:ascii="宋体"/>
      <w:kern w:val="2"/>
      <w:sz w:val="32"/>
    </w:rPr>
  </w:style>
  <w:style w:type="table" w:styleId="af2">
    <w:name w:val="Table Grid"/>
    <w:basedOn w:val="a1"/>
    <w:rsid w:val="001C4A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4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344</Words>
  <Characters>1966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杨若澜</cp:lastModifiedBy>
  <cp:revision>52</cp:revision>
  <cp:lastPrinted>1899-12-31T16:00:00Z</cp:lastPrinted>
  <dcterms:created xsi:type="dcterms:W3CDTF">2021-04-23T07:42:00Z</dcterms:created>
  <dcterms:modified xsi:type="dcterms:W3CDTF">2023-10-30T04:33:00Z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