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南浔农商行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2023年理财产品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二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季度报告</w:t>
      </w:r>
    </w:p>
    <w:p>
      <w:pPr>
        <w:widowControl/>
        <w:spacing w:line="560" w:lineRule="exact"/>
        <w:jc w:val="center"/>
        <w:rPr>
          <w:rFonts w:hint="eastAsia"/>
          <w:bCs/>
          <w:sz w:val="32"/>
          <w:szCs w:val="32"/>
        </w:rPr>
      </w:pPr>
    </w:p>
    <w:p>
      <w:pPr>
        <w:widowControl/>
        <w:spacing w:line="560" w:lineRule="exact"/>
        <w:ind w:firstLine="560" w:firstLineChars="200"/>
        <w:rPr>
          <w:bCs/>
          <w:sz w:val="28"/>
          <w:szCs w:val="32"/>
        </w:rPr>
      </w:pP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截止202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3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年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6月30日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，我行202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3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年二季度理财业务整体平稳运行。</w:t>
      </w:r>
      <w:r>
        <w:rPr>
          <w:rFonts w:hint="eastAsia"/>
          <w:bCs/>
          <w:sz w:val="28"/>
          <w:szCs w:val="32"/>
        </w:rPr>
        <w:t>具体情况如下：</w:t>
      </w:r>
    </w:p>
    <w:p>
      <w:pPr>
        <w:widowControl/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32"/>
        </w:rPr>
      </w:pPr>
      <w:r>
        <w:rPr>
          <w:rFonts w:hint="eastAsia" w:ascii="黑体" w:hAnsi="黑体" w:eastAsia="黑体" w:cs="黑体"/>
          <w:bCs/>
          <w:sz w:val="28"/>
          <w:szCs w:val="32"/>
        </w:rPr>
        <w:t>理财产品发行情况</w:t>
      </w:r>
    </w:p>
    <w:p>
      <w:pPr>
        <w:widowControl/>
        <w:spacing w:line="560" w:lineRule="exact"/>
        <w:ind w:firstLine="560" w:firstLineChars="200"/>
        <w:rPr>
          <w:rFonts w:ascii="Times New Roman" w:hAnsi="Times New Roman" w:cs="Times New Roman"/>
          <w:bCs/>
          <w:sz w:val="28"/>
          <w:szCs w:val="32"/>
          <w:lang w:val="en-US"/>
        </w:rPr>
      </w:pP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2023年二季度</w:t>
      </w:r>
      <w:r>
        <w:rPr>
          <w:rFonts w:hint="eastAsia"/>
          <w:bCs/>
          <w:sz w:val="28"/>
          <w:szCs w:val="32"/>
        </w:rPr>
        <w:t>，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共发行封闭式净值型理财产品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11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期，募集理财资金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5107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万元；一个月内开放式净值型理财产品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存续4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只，合计申购金额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6315.6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万元。</w:t>
      </w:r>
    </w:p>
    <w:p>
      <w:pPr>
        <w:pStyle w:val="7"/>
        <w:widowControl/>
        <w:numPr>
          <w:ilvl w:val="0"/>
          <w:numId w:val="2"/>
        </w:numPr>
        <w:shd w:val="clear" w:color="auto" w:fill="FFFFFF"/>
        <w:spacing w:beforeAutospacing="0" w:afterAutospacing="0" w:line="560" w:lineRule="exact"/>
        <w:ind w:left="440" w:leftChars="200"/>
        <w:jc w:val="both"/>
        <w:rPr>
          <w:rFonts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  <w:t>按期限分</w:t>
      </w:r>
    </w:p>
    <w:p>
      <w:pPr>
        <w:widowControl/>
        <w:spacing w:line="560" w:lineRule="exact"/>
        <w:ind w:firstLine="560" w:firstLineChars="200"/>
        <w:rPr>
          <w:rFonts w:ascii="Times New Roman" w:hAnsi="Times New Roman" w:cs="Times New Roman"/>
          <w:bCs/>
          <w:sz w:val="28"/>
          <w:szCs w:val="32"/>
          <w:lang w:val="en-US"/>
        </w:rPr>
      </w:pP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根据客户需求，二季度我行发行的理财产品以中短期限为主，最长期限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372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天，详见下表：</w:t>
      </w:r>
    </w:p>
    <w:p>
      <w:pPr>
        <w:widowControl/>
        <w:spacing w:line="0" w:lineRule="atLeast"/>
        <w:rPr>
          <w:rFonts w:ascii="Times New Roman" w:hAnsi="Times New Roman" w:cs="Times New Roman"/>
          <w:bCs/>
          <w:szCs w:val="24"/>
          <w:lang w:val="en-US"/>
        </w:rPr>
      </w:pPr>
      <w:r>
        <w:rPr>
          <w:rFonts w:hint="eastAsia" w:ascii="Times New Roman" w:hAnsi="Times New Roman" w:cs="Times New Roman"/>
          <w:bCs/>
          <w:szCs w:val="24"/>
          <w:lang w:val="en-US"/>
        </w:rPr>
        <w:t xml:space="preserve">                                                                                                                     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1432"/>
        <w:gridCol w:w="1087"/>
        <w:gridCol w:w="1607"/>
        <w:gridCol w:w="1506"/>
        <w:gridCol w:w="1363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7" w:type="pct"/>
            <w:gridSpan w:val="2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1个月内</w:t>
            </w:r>
          </w:p>
        </w:tc>
        <w:tc>
          <w:tcPr>
            <w:tcW w:w="889" w:type="pct"/>
          </w:tcPr>
          <w:p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90天</w:t>
            </w:r>
            <w:r>
              <w:rPr>
                <w:b/>
                <w:bCs/>
                <w:szCs w:val="24"/>
                <w:lang w:val="en-US"/>
              </w:rPr>
              <w:t>（</w:t>
            </w:r>
            <w:r>
              <w:rPr>
                <w:rFonts w:hint="eastAsia"/>
                <w:b/>
                <w:bCs/>
                <w:szCs w:val="24"/>
                <w:lang w:val="en-US"/>
              </w:rPr>
              <w:t>含</w:t>
            </w:r>
            <w:r>
              <w:rPr>
                <w:b/>
                <w:bCs/>
                <w:szCs w:val="24"/>
                <w:lang w:val="en-US"/>
              </w:rPr>
              <w:t>）</w:t>
            </w:r>
            <w:r>
              <w:rPr>
                <w:rFonts w:hint="eastAsia"/>
                <w:b/>
                <w:bCs/>
                <w:szCs w:val="24"/>
                <w:lang w:val="en-US"/>
              </w:rPr>
              <w:t>-6个月</w:t>
            </w:r>
            <w:r>
              <w:rPr>
                <w:b/>
                <w:bCs/>
                <w:szCs w:val="24"/>
                <w:lang w:val="en-US"/>
              </w:rPr>
              <w:t>（</w:t>
            </w:r>
            <w:r>
              <w:rPr>
                <w:rFonts w:hint="eastAsia"/>
                <w:b/>
                <w:bCs/>
                <w:szCs w:val="24"/>
                <w:lang w:val="en-US"/>
              </w:rPr>
              <w:t>含</w:t>
            </w:r>
            <w:r>
              <w:rPr>
                <w:b/>
                <w:bCs/>
                <w:szCs w:val="24"/>
                <w:lang w:val="en-US"/>
              </w:rPr>
              <w:t>）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6</w:t>
            </w:r>
            <w:r>
              <w:rPr>
                <w:rFonts w:hint="eastAsia"/>
                <w:b/>
                <w:bCs/>
                <w:szCs w:val="24"/>
                <w:lang w:val="en-US"/>
              </w:rPr>
              <w:t>-</w:t>
            </w:r>
            <w:r>
              <w:rPr>
                <w:b/>
                <w:bCs/>
                <w:szCs w:val="24"/>
                <w:lang w:val="en-US"/>
              </w:rPr>
              <w:t>12</w:t>
            </w:r>
            <w:r>
              <w:rPr>
                <w:rFonts w:hint="eastAsia"/>
                <w:b/>
                <w:bCs/>
                <w:szCs w:val="24"/>
                <w:lang w:val="en-US"/>
              </w:rPr>
              <w:t>个月（含）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1</w:t>
            </w:r>
            <w:r>
              <w:rPr>
                <w:rFonts w:hint="eastAsia"/>
                <w:b/>
                <w:bCs/>
                <w:szCs w:val="24"/>
                <w:lang w:val="en-US"/>
              </w:rPr>
              <w:t>-3年（含）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pct"/>
            <w:vMerge w:val="restart"/>
            <w:vAlign w:val="center"/>
          </w:tcPr>
          <w:p>
            <w:pPr>
              <w:jc w:val="center"/>
              <w:rPr>
                <w:rFonts w:eastAsia="宋体"/>
                <w:bCs/>
                <w:szCs w:val="24"/>
                <w:lang w:val="en-US"/>
              </w:rPr>
            </w:pPr>
            <w:r>
              <w:rPr>
                <w:rFonts w:hint="eastAsia" w:eastAsia="宋体"/>
                <w:szCs w:val="24"/>
              </w:rPr>
              <w:t>2023年二季度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eastAsia="宋体"/>
                <w:szCs w:val="24"/>
              </w:rPr>
            </w:pPr>
            <w:r>
              <w:rPr>
                <w:rFonts w:hint="eastAsia"/>
                <w:szCs w:val="24"/>
              </w:rPr>
              <w:t>期数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889" w:type="pct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rFonts w:hint="eastAsia"/>
                <w:szCs w:val="24"/>
                <w:lang w:val="en-US"/>
              </w:rPr>
              <w:t>3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pct"/>
            <w:vMerge w:val="continue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eastAsia="宋体"/>
                <w:szCs w:val="24"/>
              </w:rPr>
            </w:pPr>
            <w:r>
              <w:rPr>
                <w:rFonts w:hint="eastAsia"/>
                <w:szCs w:val="24"/>
              </w:rPr>
              <w:t>募集金额</w:t>
            </w:r>
            <w:r>
              <w:rPr>
                <w:rFonts w:hint="eastAsia"/>
                <w:szCs w:val="24"/>
                <w:lang w:val="en-US"/>
              </w:rPr>
              <w:t>(万)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6315.6</w:t>
            </w:r>
          </w:p>
        </w:tc>
        <w:tc>
          <w:tcPr>
            <w:tcW w:w="889" w:type="pct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1206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1619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2282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11422.6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pct"/>
            <w:vMerge w:val="continue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eastAsia="宋体"/>
                <w:szCs w:val="24"/>
              </w:rPr>
            </w:pPr>
            <w:r>
              <w:rPr>
                <w:rFonts w:hint="eastAsia"/>
                <w:szCs w:val="24"/>
              </w:rPr>
              <w:t>金额占比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textAlignment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55.29</w:t>
            </w:r>
            <w:r>
              <w:rPr>
                <w:rFonts w:hint="eastAsia"/>
                <w:szCs w:val="24"/>
                <w:lang w:val="en-US"/>
              </w:rPr>
              <w:t>%</w:t>
            </w:r>
          </w:p>
        </w:tc>
        <w:tc>
          <w:tcPr>
            <w:tcW w:w="889" w:type="pct"/>
          </w:tcPr>
          <w:p>
            <w:pPr>
              <w:jc w:val="center"/>
              <w:textAlignment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10.56</w:t>
            </w:r>
            <w:r>
              <w:rPr>
                <w:rFonts w:hint="eastAsia"/>
                <w:szCs w:val="24"/>
                <w:lang w:val="en-US"/>
              </w:rPr>
              <w:t>%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14.17</w:t>
            </w:r>
            <w:r>
              <w:rPr>
                <w:rFonts w:hint="eastAsia"/>
                <w:szCs w:val="24"/>
              </w:rPr>
              <w:t>%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19.98</w:t>
            </w:r>
            <w:r>
              <w:rPr>
                <w:rFonts w:hint="eastAsia"/>
                <w:lang w:val="en-US"/>
              </w:rPr>
              <w:t>%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100</w:t>
            </w:r>
            <w:r>
              <w:rPr>
                <w:rFonts w:hint="eastAsia"/>
                <w:szCs w:val="24"/>
              </w:rPr>
              <w:t>%</w:t>
            </w:r>
          </w:p>
        </w:tc>
      </w:tr>
    </w:tbl>
    <w:p>
      <w:pPr>
        <w:pStyle w:val="7"/>
        <w:widowControl/>
        <w:numPr>
          <w:ilvl w:val="0"/>
          <w:numId w:val="2"/>
        </w:numPr>
        <w:shd w:val="clear" w:color="auto" w:fill="FFFFFF"/>
        <w:spacing w:beforeAutospacing="0" w:afterAutospacing="0" w:line="560" w:lineRule="exact"/>
        <w:ind w:left="440" w:leftChars="200"/>
        <w:jc w:val="both"/>
        <w:rPr>
          <w:rFonts w:ascii="Times New Roman" w:hAnsi="Times New Roman" w:eastAsia="楷体"/>
          <w:spacing w:val="8"/>
          <w:sz w:val="28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楷体"/>
          <w:spacing w:val="8"/>
          <w:sz w:val="28"/>
          <w:szCs w:val="32"/>
          <w:shd w:val="clear" w:color="auto" w:fill="FFFFFF"/>
          <w:lang w:val="en-US"/>
        </w:rPr>
        <w:t>按收益方式划分</w:t>
      </w:r>
    </w:p>
    <w:tbl>
      <w:tblPr>
        <w:tblStyle w:val="8"/>
        <w:tblW w:w="7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1917"/>
        <w:gridCol w:w="2051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2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051" w:type="dxa"/>
            <w:tcBorders>
              <w:top w:val="single" w:color="auto" w:sz="4" w:space="0"/>
            </w:tcBorders>
          </w:tcPr>
          <w:p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非保本浮动型</w:t>
            </w:r>
          </w:p>
        </w:tc>
        <w:tc>
          <w:tcPr>
            <w:tcW w:w="188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2023年二季度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eastAsia="宋体"/>
                <w:szCs w:val="24"/>
              </w:rPr>
            </w:pPr>
            <w:r>
              <w:rPr>
                <w:rFonts w:hint="eastAsia"/>
                <w:szCs w:val="24"/>
              </w:rPr>
              <w:t>期数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15</w:t>
            </w:r>
          </w:p>
        </w:tc>
        <w:tc>
          <w:tcPr>
            <w:tcW w:w="18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eastAsia="宋体"/>
                <w:szCs w:val="24"/>
              </w:rPr>
            </w:pPr>
            <w:r>
              <w:rPr>
                <w:rFonts w:hint="eastAsia"/>
                <w:szCs w:val="24"/>
              </w:rPr>
              <w:t>募集金额</w:t>
            </w:r>
            <w:r>
              <w:rPr>
                <w:rFonts w:hint="eastAsia"/>
                <w:szCs w:val="24"/>
                <w:lang w:val="en-US"/>
              </w:rPr>
              <w:t>(万)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11422.6</w:t>
            </w:r>
          </w:p>
        </w:tc>
        <w:tc>
          <w:tcPr>
            <w:tcW w:w="18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11422.6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4"/>
              </w:rPr>
            </w:pPr>
            <w:r>
              <w:rPr>
                <w:rFonts w:hint="eastAsia"/>
                <w:szCs w:val="24"/>
              </w:rPr>
              <w:t>金额占比</w:t>
            </w:r>
          </w:p>
        </w:tc>
        <w:tc>
          <w:tcPr>
            <w:tcW w:w="20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100</w:t>
            </w:r>
            <w:r>
              <w:rPr>
                <w:rFonts w:hint="eastAsia"/>
                <w:szCs w:val="24"/>
              </w:rPr>
              <w:t>%</w:t>
            </w:r>
          </w:p>
        </w:tc>
        <w:tc>
          <w:tcPr>
            <w:tcW w:w="188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100</w:t>
            </w:r>
            <w:r>
              <w:rPr>
                <w:rFonts w:hint="eastAsia"/>
                <w:szCs w:val="24"/>
              </w:rPr>
              <w:t>%</w:t>
            </w:r>
          </w:p>
        </w:tc>
      </w:tr>
    </w:tbl>
    <w:p>
      <w:pPr>
        <w:pStyle w:val="7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  <w:t xml:space="preserve">   （三）按产品运作模式</w:t>
      </w:r>
      <w:r>
        <w:rPr>
          <w:rFonts w:hint="eastAsia" w:ascii="Times New Roman" w:hAnsi="Times New Roman" w:eastAsia="楷体"/>
          <w:spacing w:val="8"/>
          <w:sz w:val="28"/>
          <w:szCs w:val="32"/>
          <w:shd w:val="clear" w:color="auto" w:fill="FFFFFF"/>
          <w:lang w:val="en-US"/>
        </w:rPr>
        <w:t>划分</w:t>
      </w:r>
    </w:p>
    <w:tbl>
      <w:tblPr>
        <w:tblStyle w:val="8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1701"/>
        <w:gridCol w:w="1959"/>
        <w:gridCol w:w="231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3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9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开放式净值型</w:t>
            </w:r>
          </w:p>
        </w:tc>
        <w:tc>
          <w:tcPr>
            <w:tcW w:w="23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封闭式净值型</w:t>
            </w:r>
          </w:p>
        </w:tc>
        <w:tc>
          <w:tcPr>
            <w:tcW w:w="159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2023年二季度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期数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11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募集金额(万)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6315.6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5107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11422.6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金额占比</w:t>
            </w:r>
          </w:p>
        </w:tc>
        <w:tc>
          <w:tcPr>
            <w:tcW w:w="19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55.29</w:t>
            </w:r>
            <w:r>
              <w:rPr>
                <w:rFonts w:hint="eastAsia"/>
                <w:szCs w:val="24"/>
                <w:lang w:val="en-US"/>
              </w:rPr>
              <w:t>%</w:t>
            </w:r>
          </w:p>
        </w:tc>
        <w:tc>
          <w:tcPr>
            <w:tcW w:w="2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44.71</w:t>
            </w:r>
            <w:r>
              <w:rPr>
                <w:rFonts w:hint="eastAsia"/>
                <w:szCs w:val="24"/>
              </w:rPr>
              <w:t>%</w:t>
            </w:r>
          </w:p>
        </w:tc>
        <w:tc>
          <w:tcPr>
            <w:tcW w:w="15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100</w:t>
            </w:r>
            <w:r>
              <w:rPr>
                <w:rFonts w:hint="eastAsia"/>
                <w:szCs w:val="24"/>
              </w:rPr>
              <w:t>%</w:t>
            </w:r>
          </w:p>
        </w:tc>
      </w:tr>
    </w:tbl>
    <w:p>
      <w:pPr>
        <w:pStyle w:val="7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  <w:t xml:space="preserve">  （四）按产品风险等级</w:t>
      </w:r>
      <w:r>
        <w:rPr>
          <w:rFonts w:hint="eastAsia" w:ascii="Times New Roman" w:hAnsi="Times New Roman" w:eastAsia="楷体"/>
          <w:spacing w:val="8"/>
          <w:sz w:val="28"/>
          <w:szCs w:val="32"/>
          <w:shd w:val="clear" w:color="auto" w:fill="FFFFFF"/>
          <w:lang w:val="en-US"/>
        </w:rPr>
        <w:t>划分</w:t>
      </w:r>
    </w:p>
    <w:p>
      <w:pPr>
        <w:widowControl/>
        <w:spacing w:line="560" w:lineRule="exact"/>
        <w:ind w:firstLine="560" w:firstLineChars="200"/>
        <w:rPr>
          <w:rFonts w:ascii="Times New Roman" w:hAnsi="Times New Roman" w:cs="Times New Roman"/>
          <w:bCs/>
          <w:sz w:val="28"/>
          <w:szCs w:val="32"/>
          <w:lang w:val="en-US"/>
        </w:rPr>
      </w:pP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我行理财产品以中低风险为主，满足客户风险控制、稳健发展、均衡成长、保值增值的需要。未发行中高风险理财产品。详见下表：</w:t>
      </w:r>
    </w:p>
    <w:p>
      <w:pPr>
        <w:widowControl/>
        <w:spacing w:line="560" w:lineRule="exact"/>
        <w:ind w:firstLine="560" w:firstLineChars="200"/>
        <w:rPr>
          <w:rFonts w:ascii="Times New Roman" w:hAnsi="Times New Roman" w:cs="Times New Roman"/>
          <w:bCs/>
          <w:sz w:val="28"/>
          <w:szCs w:val="32"/>
          <w:lang w:val="en-US"/>
        </w:rPr>
      </w:pPr>
    </w:p>
    <w:tbl>
      <w:tblPr>
        <w:tblStyle w:val="8"/>
        <w:tblpPr w:leftFromText="180" w:rightFromText="180" w:vertAnchor="text" w:horzAnchor="page" w:tblpX="1580" w:tblpY="49"/>
        <w:tblOverlap w:val="never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500"/>
        <w:gridCol w:w="1275"/>
        <w:gridCol w:w="1065"/>
        <w:gridCol w:w="1305"/>
        <w:gridCol w:w="130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4" w:type="dxa"/>
            <w:gridSpan w:val="2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R1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 w:eastAsia="宋体"/>
                <w:b/>
                <w:bCs/>
                <w:szCs w:val="24"/>
                <w:lang w:val="en-US"/>
              </w:rPr>
              <w:t>R2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R3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R4-R5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4" w:type="dxa"/>
            <w:vMerge w:val="restart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 w:eastAsia="宋体"/>
                <w:szCs w:val="24"/>
              </w:rPr>
              <w:t>2023年二季度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期数</w:t>
            </w:r>
          </w:p>
        </w:tc>
        <w:tc>
          <w:tcPr>
            <w:tcW w:w="1275" w:type="dxa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募集金额(万)</w:t>
            </w:r>
          </w:p>
        </w:tc>
        <w:tc>
          <w:tcPr>
            <w:tcW w:w="1275" w:type="dxa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11422.6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11422.6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金额占比</w:t>
            </w:r>
          </w:p>
        </w:tc>
        <w:tc>
          <w:tcPr>
            <w:tcW w:w="1275" w:type="dxa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100</w:t>
            </w:r>
            <w:r>
              <w:rPr>
                <w:rFonts w:hint="eastAsia"/>
                <w:szCs w:val="24"/>
              </w:rPr>
              <w:t>%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100</w:t>
            </w:r>
            <w:r>
              <w:rPr>
                <w:rFonts w:hint="eastAsia"/>
                <w:szCs w:val="24"/>
              </w:rPr>
              <w:t>%</w:t>
            </w:r>
          </w:p>
        </w:tc>
      </w:tr>
    </w:tbl>
    <w:p>
      <w:pPr>
        <w:widowControl/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32"/>
        </w:rPr>
      </w:pPr>
      <w:r>
        <w:rPr>
          <w:rFonts w:hint="eastAsia" w:ascii="黑体" w:hAnsi="黑体" w:eastAsia="黑体" w:cs="黑体"/>
          <w:bCs/>
          <w:sz w:val="28"/>
          <w:szCs w:val="32"/>
        </w:rPr>
        <w:t>理财产品到期情况</w:t>
      </w:r>
    </w:p>
    <w:p>
      <w:pPr>
        <w:widowControl/>
        <w:spacing w:line="560" w:lineRule="exact"/>
        <w:ind w:firstLine="560" w:firstLineChars="200"/>
        <w:rPr>
          <w:rFonts w:ascii="Times New Roman" w:hAnsi="Times New Roman" w:cs="Times New Roman"/>
          <w:bCs/>
          <w:sz w:val="28"/>
          <w:szCs w:val="32"/>
          <w:lang w:val="en-US"/>
        </w:rPr>
      </w:pPr>
      <w:r>
        <w:rPr>
          <w:rFonts w:hint="eastAsia"/>
          <w:bCs/>
          <w:sz w:val="28"/>
          <w:szCs w:val="32"/>
        </w:rPr>
        <w:t>2023年二季度，我行合计兑付理财本息共计</w:t>
      </w:r>
      <w:r>
        <w:rPr>
          <w:rFonts w:hint="eastAsia"/>
          <w:bCs/>
          <w:sz w:val="28"/>
          <w:szCs w:val="32"/>
          <w:lang w:val="en-US"/>
        </w:rPr>
        <w:t>2</w:t>
      </w:r>
      <w:r>
        <w:rPr>
          <w:bCs/>
          <w:sz w:val="28"/>
          <w:szCs w:val="32"/>
          <w:lang w:val="en-US"/>
        </w:rPr>
        <w:t>0946.03</w:t>
      </w:r>
      <w:r>
        <w:rPr>
          <w:rFonts w:hint="eastAsia"/>
          <w:bCs/>
          <w:sz w:val="28"/>
          <w:szCs w:val="32"/>
          <w:lang w:val="en-US"/>
        </w:rPr>
        <w:t>万元。其中，</w:t>
      </w:r>
      <w:r>
        <w:rPr>
          <w:rFonts w:hint="eastAsia"/>
          <w:bCs/>
          <w:sz w:val="28"/>
          <w:szCs w:val="32"/>
        </w:rPr>
        <w:t>兑付封闭式净值型理财产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品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11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期</w:t>
      </w:r>
      <w:r>
        <w:rPr>
          <w:rFonts w:hint="eastAsia"/>
          <w:bCs/>
          <w:sz w:val="28"/>
          <w:szCs w:val="32"/>
          <w:lang w:val="en-US"/>
        </w:rPr>
        <w:t>，</w:t>
      </w:r>
      <w:r>
        <w:rPr>
          <w:rFonts w:hint="eastAsia"/>
          <w:bCs/>
          <w:sz w:val="28"/>
          <w:szCs w:val="32"/>
        </w:rPr>
        <w:t>兑付理财本息合计</w:t>
      </w:r>
      <w:r>
        <w:rPr>
          <w:bCs/>
          <w:sz w:val="28"/>
          <w:szCs w:val="32"/>
          <w:lang w:val="en-US"/>
        </w:rPr>
        <w:t>18686.76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万</w:t>
      </w:r>
      <w:r>
        <w:rPr>
          <w:rFonts w:ascii="Times New Roman" w:hAnsi="Times New Roman" w:cs="Times New Roman"/>
          <w:bCs/>
          <w:sz w:val="28"/>
          <w:szCs w:val="32"/>
        </w:rPr>
        <w:t>元</w:t>
      </w:r>
      <w:r>
        <w:rPr>
          <w:rFonts w:hint="eastAsia"/>
          <w:bCs/>
          <w:sz w:val="28"/>
          <w:szCs w:val="32"/>
          <w:lang w:val="en-US"/>
        </w:rPr>
        <w:t>；兑付客户赎回的开放式理财本息合计</w:t>
      </w:r>
      <w:r>
        <w:rPr>
          <w:bCs/>
          <w:sz w:val="28"/>
          <w:szCs w:val="32"/>
          <w:lang w:val="en-US"/>
        </w:rPr>
        <w:t>2259.27</w:t>
      </w:r>
      <w:r>
        <w:rPr>
          <w:rFonts w:hint="eastAsia"/>
          <w:bCs/>
          <w:sz w:val="28"/>
          <w:szCs w:val="32"/>
          <w:lang w:val="en-US"/>
        </w:rPr>
        <w:t>万元。兑付的理财产品均达公告业绩基准，并按照产品说明书的约定按时兑付，兑付情况如下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：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 xml:space="preserve"> </w:t>
      </w:r>
    </w:p>
    <w:tbl>
      <w:tblPr>
        <w:tblStyle w:val="8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1853"/>
        <w:gridCol w:w="1962"/>
        <w:gridCol w:w="2244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封闭式净值型</w:t>
            </w:r>
          </w:p>
        </w:tc>
        <w:tc>
          <w:tcPr>
            <w:tcW w:w="22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开放式净值型</w:t>
            </w:r>
          </w:p>
        </w:tc>
        <w:tc>
          <w:tcPr>
            <w:tcW w:w="198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 xml:space="preserve">   兑付合计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 w:eastAsia="宋体"/>
                <w:szCs w:val="24"/>
              </w:rPr>
              <w:t>2023年二季度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期数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11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Cs w:val="24"/>
              </w:rPr>
              <w:t>－</w:t>
            </w:r>
          </w:p>
        </w:tc>
        <w:tc>
          <w:tcPr>
            <w:tcW w:w="19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兑付金额(万)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18686.76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2259.27</w:t>
            </w:r>
          </w:p>
        </w:tc>
        <w:tc>
          <w:tcPr>
            <w:tcW w:w="19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20946.03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金额占比</w:t>
            </w:r>
          </w:p>
        </w:tc>
        <w:tc>
          <w:tcPr>
            <w:tcW w:w="19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89.21</w:t>
            </w:r>
            <w:r>
              <w:rPr>
                <w:rFonts w:hint="eastAsia"/>
                <w:szCs w:val="24"/>
                <w:lang w:val="en-US"/>
              </w:rPr>
              <w:t>%</w:t>
            </w:r>
          </w:p>
        </w:tc>
        <w:tc>
          <w:tcPr>
            <w:tcW w:w="22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10.79</w:t>
            </w:r>
            <w:r>
              <w:rPr>
                <w:szCs w:val="24"/>
              </w:rPr>
              <w:t>%</w:t>
            </w:r>
          </w:p>
        </w:tc>
        <w:tc>
          <w:tcPr>
            <w:tcW w:w="198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/>
              </w:rPr>
              <w:t>100</w:t>
            </w:r>
            <w:r>
              <w:rPr>
                <w:szCs w:val="24"/>
              </w:rPr>
              <w:t>%</w:t>
            </w:r>
          </w:p>
        </w:tc>
      </w:tr>
    </w:tbl>
    <w:p>
      <w:pPr>
        <w:widowControl/>
        <w:numPr>
          <w:ilvl w:val="0"/>
          <w:numId w:val="1"/>
        </w:num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32"/>
        </w:rPr>
      </w:pPr>
      <w:r>
        <w:rPr>
          <w:rFonts w:hint="eastAsia" w:ascii="黑体" w:hAnsi="黑体" w:eastAsia="黑体" w:cs="黑体"/>
          <w:bCs/>
          <w:sz w:val="28"/>
          <w:szCs w:val="32"/>
        </w:rPr>
        <w:t>理财产品存续情况</w:t>
      </w:r>
    </w:p>
    <w:p>
      <w:pPr>
        <w:widowControl/>
        <w:spacing w:line="560" w:lineRule="exact"/>
        <w:ind w:firstLine="560" w:firstLineChars="200"/>
        <w:rPr>
          <w:rFonts w:ascii="Times New Roman" w:hAnsi="Times New Roman" w:cs="Times New Roman"/>
          <w:bCs/>
          <w:sz w:val="28"/>
          <w:szCs w:val="32"/>
          <w:lang w:val="en-US"/>
        </w:rPr>
      </w:pPr>
      <w:r>
        <w:rPr>
          <w:rFonts w:hint="eastAsia"/>
          <w:bCs/>
          <w:sz w:val="28"/>
          <w:szCs w:val="32"/>
        </w:rPr>
        <w:t>截至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202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3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年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6月30日</w:t>
      </w:r>
      <w:r>
        <w:rPr>
          <w:rFonts w:ascii="Times New Roman" w:hAnsi="Times New Roman" w:cs="Times New Roman"/>
          <w:bCs/>
          <w:sz w:val="28"/>
          <w:szCs w:val="32"/>
        </w:rPr>
        <w:t>，我行</w:t>
      </w:r>
      <w:r>
        <w:rPr>
          <w:rFonts w:hint="eastAsia" w:ascii="Times New Roman" w:hAnsi="Times New Roman" w:cs="Times New Roman"/>
          <w:bCs/>
          <w:sz w:val="28"/>
          <w:szCs w:val="32"/>
        </w:rPr>
        <w:t>存续理财产品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40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期，存续</w:t>
      </w:r>
      <w:r>
        <w:rPr>
          <w:rFonts w:ascii="Times New Roman" w:hAnsi="Times New Roman" w:cs="Times New Roman"/>
          <w:bCs/>
          <w:sz w:val="28"/>
          <w:szCs w:val="32"/>
        </w:rPr>
        <w:t>理财余额为35972.53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万元。</w:t>
      </w:r>
    </w:p>
    <w:p>
      <w:pPr>
        <w:pStyle w:val="7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  <w:t xml:space="preserve">    (一)按产品运作模式</w:t>
      </w:r>
      <w:r>
        <w:rPr>
          <w:rFonts w:hint="eastAsia" w:ascii="Times New Roman" w:hAnsi="Times New Roman" w:eastAsia="楷体"/>
          <w:spacing w:val="8"/>
          <w:sz w:val="28"/>
          <w:szCs w:val="32"/>
          <w:shd w:val="clear" w:color="auto" w:fill="FFFFFF"/>
          <w:lang w:val="en-US"/>
        </w:rPr>
        <w:t>划分</w:t>
      </w:r>
    </w:p>
    <w:tbl>
      <w:tblPr>
        <w:tblStyle w:val="8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457"/>
        <w:gridCol w:w="2301"/>
        <w:gridCol w:w="2514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3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封闭式净值型</w:t>
            </w:r>
          </w:p>
        </w:tc>
        <w:tc>
          <w:tcPr>
            <w:tcW w:w="251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开放式净值型</w:t>
            </w:r>
          </w:p>
        </w:tc>
        <w:tc>
          <w:tcPr>
            <w:tcW w:w="196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 w:eastAsia="宋体"/>
                <w:szCs w:val="24"/>
              </w:rPr>
              <w:t>2023年二季度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期数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36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19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存续金额(万)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28819.74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7152.79</w:t>
            </w:r>
          </w:p>
        </w:tc>
        <w:tc>
          <w:tcPr>
            <w:tcW w:w="19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35972.53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金额占比</w:t>
            </w:r>
          </w:p>
        </w:tc>
        <w:tc>
          <w:tcPr>
            <w:tcW w:w="23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80.12</w:t>
            </w:r>
            <w:r>
              <w:rPr>
                <w:szCs w:val="24"/>
              </w:rPr>
              <w:t>%</w:t>
            </w:r>
          </w:p>
        </w:tc>
        <w:tc>
          <w:tcPr>
            <w:tcW w:w="25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19.88</w:t>
            </w:r>
            <w:r>
              <w:rPr>
                <w:rFonts w:hint="eastAsia"/>
                <w:szCs w:val="24"/>
                <w:lang w:val="en-US"/>
              </w:rPr>
              <w:t>%</w:t>
            </w:r>
          </w:p>
        </w:tc>
        <w:tc>
          <w:tcPr>
            <w:tcW w:w="1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100</w:t>
            </w:r>
            <w:r>
              <w:rPr>
                <w:szCs w:val="24"/>
              </w:rPr>
              <w:t>%</w:t>
            </w:r>
          </w:p>
        </w:tc>
      </w:tr>
    </w:tbl>
    <w:p>
      <w:pPr>
        <w:widowControl/>
        <w:spacing w:line="560" w:lineRule="exact"/>
        <w:ind w:firstLine="592" w:firstLineChars="200"/>
        <w:rPr>
          <w:rFonts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  <w:t>(二)按风险等级</w:t>
      </w:r>
      <w:r>
        <w:rPr>
          <w:rFonts w:hint="eastAsia" w:ascii="Times New Roman" w:hAnsi="Times New Roman" w:eastAsia="楷体"/>
          <w:spacing w:val="8"/>
          <w:sz w:val="28"/>
          <w:szCs w:val="32"/>
          <w:shd w:val="clear" w:color="auto" w:fill="FFFFFF"/>
          <w:lang w:val="en-US"/>
        </w:rPr>
        <w:t>划分</w:t>
      </w:r>
      <w:r>
        <w:rPr>
          <w:rFonts w:hint="eastAsia" w:ascii="Times New Roman" w:hAnsi="Times New Roman" w:eastAsia="楷体"/>
          <w:color w:val="333333"/>
          <w:spacing w:val="8"/>
          <w:sz w:val="28"/>
          <w:szCs w:val="32"/>
          <w:shd w:val="clear" w:color="auto" w:fill="FFFFFF"/>
          <w:lang w:val="en-US"/>
        </w:rPr>
        <w:t>，中低风险评级理财产品占主导，主要投资于债券资产、买入返售资产及货币市场基金，总体风险可控。</w:t>
      </w:r>
    </w:p>
    <w:tbl>
      <w:tblPr>
        <w:tblStyle w:val="8"/>
        <w:tblpPr w:leftFromText="180" w:rightFromText="180" w:vertAnchor="text" w:horzAnchor="page" w:tblpX="1580" w:tblpY="49"/>
        <w:tblOverlap w:val="never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500"/>
        <w:gridCol w:w="1275"/>
        <w:gridCol w:w="1065"/>
        <w:gridCol w:w="1305"/>
        <w:gridCol w:w="130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4" w:type="dxa"/>
            <w:gridSpan w:val="2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R1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 w:eastAsia="宋体"/>
                <w:b/>
                <w:bCs/>
                <w:szCs w:val="24"/>
                <w:lang w:val="en-US"/>
              </w:rPr>
              <w:t>R2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R3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en-US"/>
              </w:rPr>
              <w:t>R4-R5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4" w:type="dxa"/>
            <w:vMerge w:val="restart"/>
            <w:vAlign w:val="center"/>
          </w:tcPr>
          <w:p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>
              <w:rPr>
                <w:rFonts w:hint="eastAsia" w:eastAsia="宋体"/>
                <w:szCs w:val="24"/>
              </w:rPr>
              <w:t>2023年二季度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存续金额(万)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35972.53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35972.53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金额占比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100</w:t>
            </w:r>
            <w:r>
              <w:rPr>
                <w:szCs w:val="24"/>
              </w:rPr>
              <w:t>%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100</w:t>
            </w:r>
            <w:r>
              <w:rPr>
                <w:szCs w:val="24"/>
              </w:rPr>
              <w:t>%</w:t>
            </w:r>
          </w:p>
        </w:tc>
      </w:tr>
    </w:tbl>
    <w:p>
      <w:pPr>
        <w:widowControl/>
        <w:numPr>
          <w:ilvl w:val="0"/>
          <w:numId w:val="3"/>
        </w:numPr>
        <w:spacing w:line="560" w:lineRule="exact"/>
        <w:rPr>
          <w:rFonts w:ascii="黑体" w:hAnsi="黑体" w:eastAsia="黑体" w:cs="黑体"/>
          <w:bCs/>
          <w:sz w:val="28"/>
          <w:szCs w:val="32"/>
        </w:rPr>
      </w:pPr>
      <w:r>
        <w:rPr>
          <w:rFonts w:hint="eastAsia" w:ascii="黑体" w:hAnsi="黑体" w:eastAsia="黑体" w:cs="黑体"/>
          <w:bCs/>
          <w:sz w:val="28"/>
          <w:szCs w:val="32"/>
        </w:rPr>
        <w:t>理财产品投资资产情况</w:t>
      </w:r>
    </w:p>
    <w:p>
      <w:pPr>
        <w:spacing w:line="56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截止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2022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3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年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6月30日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,我行理财投资资产余额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40342.9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万元（穿透后），其中投资于债券类资产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35690.82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万元，买入返售资产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2688.38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万元，公募基金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1322.94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万元，同业存单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640.76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万元，未投资非标准债权资产及其他资产。具体如下表：</w:t>
      </w:r>
    </w:p>
    <w:tbl>
      <w:tblPr>
        <w:tblStyle w:val="8"/>
        <w:tblpPr w:leftFromText="180" w:rightFromText="180" w:vertAnchor="text" w:horzAnchor="margin" w:tblpXSpec="right" w:tblpY="299"/>
        <w:tblW w:w="92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3451"/>
        <w:gridCol w:w="25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资产类型</w:t>
            </w:r>
          </w:p>
        </w:tc>
        <w:tc>
          <w:tcPr>
            <w:tcW w:w="3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金额（万元）</w:t>
            </w:r>
          </w:p>
        </w:tc>
        <w:tc>
          <w:tcPr>
            <w:tcW w:w="2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4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债券类资产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/>
              <w:jc w:val="center"/>
              <w:rPr>
                <w:szCs w:val="24"/>
              </w:rPr>
            </w:pPr>
            <w:r>
              <w:rPr>
                <w:szCs w:val="24"/>
              </w:rPr>
              <w:t>35690.82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/>
              <w:jc w:val="center"/>
              <w:rPr>
                <w:szCs w:val="24"/>
              </w:rPr>
            </w:pPr>
            <w:r>
              <w:rPr>
                <w:szCs w:val="24"/>
              </w:rPr>
              <w:t>88.47%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4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买入返售资产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/>
              <w:jc w:val="center"/>
              <w:rPr>
                <w:szCs w:val="24"/>
              </w:rPr>
            </w:pPr>
            <w:r>
              <w:rPr>
                <w:szCs w:val="24"/>
              </w:rPr>
              <w:t>2688.38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/>
              <w:jc w:val="center"/>
              <w:rPr>
                <w:szCs w:val="24"/>
              </w:rPr>
            </w:pPr>
            <w:r>
              <w:rPr>
                <w:szCs w:val="24"/>
              </w:rPr>
              <w:t>6.66%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4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公募基金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/>
              <w:jc w:val="center"/>
              <w:rPr>
                <w:szCs w:val="24"/>
              </w:rPr>
            </w:pPr>
            <w:r>
              <w:rPr>
                <w:szCs w:val="24"/>
              </w:rPr>
              <w:t>1322.94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/>
              <w:jc w:val="center"/>
              <w:rPr>
                <w:szCs w:val="24"/>
              </w:rPr>
            </w:pPr>
            <w:r>
              <w:rPr>
                <w:szCs w:val="24"/>
              </w:rPr>
              <w:t>3.28%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4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同业存单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/>
              <w:jc w:val="center"/>
              <w:rPr>
                <w:szCs w:val="24"/>
              </w:rPr>
            </w:pPr>
            <w:r>
              <w:rPr>
                <w:szCs w:val="24"/>
              </w:rPr>
              <w:t>640.76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/>
              <w:jc w:val="center"/>
              <w:rPr>
                <w:szCs w:val="24"/>
              </w:rPr>
            </w:pPr>
            <w:r>
              <w:rPr>
                <w:szCs w:val="24"/>
              </w:rPr>
              <w:t>1.59%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4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合计</w:t>
            </w:r>
          </w:p>
        </w:tc>
        <w:tc>
          <w:tcPr>
            <w:tcW w:w="3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/>
              <w:jc w:val="center"/>
              <w:rPr>
                <w:szCs w:val="24"/>
              </w:rPr>
            </w:pPr>
            <w:r>
              <w:rPr>
                <w:szCs w:val="24"/>
              </w:rPr>
              <w:t>40342.9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0"/>
              <w:jc w:val="center"/>
              <w:rPr>
                <w:szCs w:val="24"/>
              </w:rPr>
            </w:pPr>
            <w:r>
              <w:rPr>
                <w:szCs w:val="24"/>
              </w:rPr>
              <w:t>100.00%</w:t>
            </w:r>
          </w:p>
        </w:tc>
      </w:tr>
    </w:tbl>
    <w:p>
      <w:pPr>
        <w:widowControl/>
        <w:spacing w:line="560" w:lineRule="exact"/>
        <w:ind w:right="640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>
      <w:pPr>
        <w:widowControl/>
        <w:spacing w:line="560" w:lineRule="exact"/>
        <w:ind w:right="640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>
      <w:pPr>
        <w:widowControl/>
        <w:spacing w:line="560" w:lineRule="exact"/>
        <w:ind w:right="640"/>
        <w:rPr>
          <w:rFonts w:ascii="Times New Roman" w:hAnsi="Times New Roman" w:cs="Times New Roman"/>
          <w:bCs/>
          <w:sz w:val="32"/>
          <w:szCs w:val="32"/>
          <w:lang w:val="en-US"/>
        </w:rPr>
      </w:pPr>
      <w:bookmarkStart w:id="0" w:name="_GoBack"/>
      <w:bookmarkEnd w:id="0"/>
    </w:p>
    <w:p>
      <w:pPr>
        <w:widowControl/>
        <w:spacing w:line="560" w:lineRule="exact"/>
        <w:ind w:firstLine="640" w:firstLineChars="200"/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>
      <w:pPr>
        <w:widowControl/>
        <w:spacing w:line="560" w:lineRule="exact"/>
        <w:ind w:firstLine="640" w:firstLineChars="200"/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>
      <w:pPr>
        <w:widowControl/>
        <w:spacing w:line="560" w:lineRule="exact"/>
        <w:ind w:firstLine="640" w:firstLineChars="200"/>
        <w:jc w:val="right"/>
        <w:rPr>
          <w:rFonts w:hint="eastAsia" w:ascii="Times New Roman" w:hAnsi="Times New Roman" w:cs="Times New Roman"/>
          <w:bCs/>
          <w:sz w:val="32"/>
          <w:szCs w:val="32"/>
          <w:lang w:val="en-US"/>
        </w:rPr>
      </w:pPr>
    </w:p>
    <w:p>
      <w:pPr>
        <w:widowControl/>
        <w:spacing w:line="560" w:lineRule="exact"/>
        <w:ind w:firstLine="640" w:firstLineChars="200"/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hint="eastAsia" w:ascii="Times New Roman" w:hAnsi="Times New Roman" w:cs="Times New Roman"/>
          <w:bCs/>
          <w:sz w:val="32"/>
          <w:szCs w:val="32"/>
          <w:lang w:val="en-US"/>
        </w:rPr>
        <w:t>浙江南浔农村商业银行股份有限公司</w:t>
      </w:r>
    </w:p>
    <w:p>
      <w:pPr>
        <w:widowControl/>
        <w:spacing w:line="560" w:lineRule="exact"/>
        <w:ind w:right="1280" w:firstLine="640" w:firstLineChars="200"/>
        <w:jc w:val="center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hint="eastAsia" w:ascii="Times New Roman" w:hAnsi="Times New Roman" w:cs="Times New Roman"/>
          <w:bCs/>
          <w:sz w:val="32"/>
          <w:szCs w:val="32"/>
          <w:lang w:val="en-US"/>
        </w:rPr>
        <w:t xml:space="preserve">                          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202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3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>年0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6月30日</w:t>
      </w:r>
      <w:r>
        <w:rPr>
          <w:rFonts w:hint="eastAsia" w:ascii="Times New Roman" w:hAnsi="Times New Roman" w:cs="Times New Roman"/>
          <w:bCs/>
          <w:sz w:val="28"/>
          <w:szCs w:val="32"/>
          <w:lang w:val="en-US"/>
        </w:rPr>
        <w:t xml:space="preserve">  </w:t>
      </w:r>
    </w:p>
    <w:p>
      <w:pPr>
        <w:widowControl/>
        <w:spacing w:line="560" w:lineRule="exact"/>
        <w:ind w:firstLine="640" w:firstLineChars="200"/>
        <w:jc w:val="center"/>
        <w:rPr>
          <w:bCs/>
          <w:sz w:val="32"/>
          <w:szCs w:val="32"/>
          <w:lang w:val="en-US"/>
        </w:rPr>
      </w:pPr>
      <w:r>
        <w:rPr>
          <w:rFonts w:hint="eastAsia" w:ascii="Times New Roman" w:hAnsi="Times New Roman" w:cs="Times New Roman"/>
          <w:bCs/>
          <w:sz w:val="32"/>
          <w:szCs w:val="32"/>
          <w:lang w:val="en-US"/>
        </w:rPr>
        <w:t xml:space="preserve">                                        </w:t>
      </w:r>
    </w:p>
    <w:sectPr>
      <w:footerReference r:id="rId3" w:type="default"/>
      <w:pgSz w:w="11910" w:h="16840"/>
      <w:pgMar w:top="1500" w:right="1380" w:bottom="1500" w:left="1500" w:header="0" w:footer="131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3696335</wp:posOffset>
              </wp:positionH>
              <wp:positionV relativeFrom="page">
                <wp:posOffset>9716770</wp:posOffset>
              </wp:positionV>
              <wp:extent cx="167005" cy="139700"/>
              <wp:effectExtent l="0" t="0" r="0" b="0"/>
              <wp:wrapNone/>
              <wp:docPr id="1" name="文本框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34" o:spid="_x0000_s1026" o:spt="202" type="#_x0000_t202" style="position:absolute;left:0pt;margin-left:291.05pt;margin-top:765.1pt;height:11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ha/APaAAAADQEAAA8AAAAAAAAAAQAgAAAAIgAAAGRycy9kb3ducmV2LnhtbFBL&#10;AQIUABQAAAAIAIdO4kCBuLUOuwEAAHQ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40723"/>
    <w:multiLevelType w:val="multilevel"/>
    <w:tmpl w:val="0A440723"/>
    <w:lvl w:ilvl="0" w:tentative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C1E930D"/>
    <w:multiLevelType w:val="singleLevel"/>
    <w:tmpl w:val="4C1E930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C751CDB"/>
    <w:multiLevelType w:val="singleLevel"/>
    <w:tmpl w:val="5C751CD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MDJhMTJjNzMzMGNhOWM5MDE2MmFiMmZmYzMxNDMifQ=="/>
  </w:docVars>
  <w:rsids>
    <w:rsidRoot w:val="0045673D"/>
    <w:rsid w:val="00003747"/>
    <w:rsid w:val="00013E0E"/>
    <w:rsid w:val="00031C28"/>
    <w:rsid w:val="00040D05"/>
    <w:rsid w:val="001718D2"/>
    <w:rsid w:val="001E44FB"/>
    <w:rsid w:val="00222DE4"/>
    <w:rsid w:val="002A2DE1"/>
    <w:rsid w:val="002B608F"/>
    <w:rsid w:val="002F6F0E"/>
    <w:rsid w:val="0031488E"/>
    <w:rsid w:val="003777D7"/>
    <w:rsid w:val="0045673D"/>
    <w:rsid w:val="0049572C"/>
    <w:rsid w:val="004C6198"/>
    <w:rsid w:val="00691BA1"/>
    <w:rsid w:val="00705CA5"/>
    <w:rsid w:val="00735B41"/>
    <w:rsid w:val="00822EEC"/>
    <w:rsid w:val="00875523"/>
    <w:rsid w:val="0091074A"/>
    <w:rsid w:val="009376F7"/>
    <w:rsid w:val="009563E5"/>
    <w:rsid w:val="00A92166"/>
    <w:rsid w:val="00AC132F"/>
    <w:rsid w:val="00AE1143"/>
    <w:rsid w:val="00AE488A"/>
    <w:rsid w:val="00B125B7"/>
    <w:rsid w:val="00B23E29"/>
    <w:rsid w:val="00C175DD"/>
    <w:rsid w:val="00C71947"/>
    <w:rsid w:val="00CB319C"/>
    <w:rsid w:val="00DA61AD"/>
    <w:rsid w:val="00ED35C1"/>
    <w:rsid w:val="00EE3056"/>
    <w:rsid w:val="00F56ACD"/>
    <w:rsid w:val="00F75220"/>
    <w:rsid w:val="00FD60D1"/>
    <w:rsid w:val="46092573"/>
    <w:rsid w:val="4AE6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0"/>
    <w:rPr>
      <w:rFonts w:ascii="宋体" w:eastAsia="宋体"/>
      <w:sz w:val="18"/>
      <w:szCs w:val="18"/>
    </w:rPr>
  </w:style>
  <w:style w:type="paragraph" w:styleId="3">
    <w:name w:val="Body Text"/>
    <w:basedOn w:val="1"/>
    <w:link w:val="10"/>
    <w:qFormat/>
    <w:uiPriority w:val="1"/>
    <w:rPr>
      <w:sz w:val="30"/>
      <w:szCs w:val="3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</w:pPr>
    <w:rPr>
      <w:rFonts w:cs="Times New Roman"/>
      <w:sz w:val="24"/>
    </w:rPr>
  </w:style>
  <w:style w:type="character" w:customStyle="1" w:styleId="10">
    <w:name w:val="正文文本 Char"/>
    <w:link w:val="3"/>
    <w:qFormat/>
    <w:uiPriority w:val="1"/>
    <w:rPr>
      <w:rFonts w:ascii="仿宋" w:hAnsi="仿宋" w:eastAsia="仿宋" w:cs="仿宋"/>
      <w:kern w:val="0"/>
      <w:sz w:val="30"/>
      <w:szCs w:val="30"/>
      <w:lang w:val="zh-CN" w:bidi="zh-CN"/>
    </w:rPr>
  </w:style>
  <w:style w:type="character" w:customStyle="1" w:styleId="11">
    <w:name w:val="批注框文本 Char"/>
    <w:link w:val="4"/>
    <w:semiHidden/>
    <w:qFormat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  <w:style w:type="character" w:customStyle="1" w:styleId="12">
    <w:name w:val="页眉 Char"/>
    <w:link w:val="6"/>
    <w:semiHidden/>
    <w:qFormat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  <w:style w:type="character" w:customStyle="1" w:styleId="13">
    <w:name w:val="页脚 Char"/>
    <w:link w:val="5"/>
    <w:semiHidden/>
    <w:qFormat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  <w:style w:type="character" w:customStyle="1" w:styleId="14">
    <w:name w:val="文档结构图 Char"/>
    <w:link w:val="2"/>
    <w:semiHidden/>
    <w:qFormat/>
    <w:uiPriority w:val="0"/>
    <w:rPr>
      <w:rFonts w:ascii="宋体" w:hAnsi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265</Words>
  <Characters>1513</Characters>
  <Lines>12</Lines>
  <Paragraphs>3</Paragraphs>
  <TotalTime>0</TotalTime>
  <ScaleCrop>false</ScaleCrop>
  <LinksUpToDate>false</LinksUpToDate>
  <CharactersWithSpaces>1775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2022-04-07T03:19:00Z</dcterms:created>
  <dc:creator>陆琴美</dc:creator>
  <cp:lastModifiedBy>陆琴美</cp:lastModifiedBy>
  <dcterms:modified xsi:type="dcterms:W3CDTF">2023-11-23T01:50:11Z</dcterms:modified>
  <dc:title>南浔农商行2020年理财产品第三季度报告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F1431527EA014ECEB32A9D94F0B8E91D_13</vt:lpwstr>
  </property>
</Properties>
</file>