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南浔农商行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2023年理财产品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年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度报告</w:t>
      </w:r>
    </w:p>
    <w:p>
      <w:pPr>
        <w:widowControl/>
        <w:spacing w:line="560" w:lineRule="exact"/>
        <w:jc w:val="center"/>
        <w:rPr>
          <w:rFonts w:hint="eastAsia"/>
          <w:bCs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bCs/>
          <w:sz w:val="28"/>
          <w:szCs w:val="32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年度理财业务整体平稳运行。</w:t>
      </w:r>
      <w:r>
        <w:rPr>
          <w:rFonts w:hint="eastAsia"/>
          <w:bCs/>
          <w:sz w:val="28"/>
          <w:szCs w:val="32"/>
        </w:rPr>
        <w:t>具体情况如下：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理财产品发行情况</w:t>
      </w:r>
    </w:p>
    <w:p>
      <w:pPr>
        <w:widowControl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sz w:val="28"/>
          <w:szCs w:val="32"/>
          <w:lang w:val="en-US" w:eastAsia="zh-CN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我行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2023年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全年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共发行封闭式净值型理财产品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37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期，募集理财资金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20034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万元；一个月内开放式净值型理财产品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存续4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只，合计申购金额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18028.9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根据客户需求，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2023年全年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我行发行的理财产品以中短期限为主，最长期限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372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天，详见下表：</w:t>
      </w:r>
    </w:p>
    <w:p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>
        <w:rPr>
          <w:rFonts w:hint="eastAsia" w:ascii="Times New Roman" w:hAnsi="Times New Roman" w:cs="Times New Roman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32"/>
        <w:gridCol w:w="1087"/>
        <w:gridCol w:w="1607"/>
        <w:gridCol w:w="1506"/>
        <w:gridCol w:w="136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pct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1个月内</w:t>
            </w:r>
          </w:p>
        </w:tc>
        <w:tc>
          <w:tcPr>
            <w:tcW w:w="889" w:type="pct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90天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-6个月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</w:t>
            </w:r>
            <w:r>
              <w:rPr>
                <w:b/>
                <w:bCs/>
                <w:szCs w:val="24"/>
                <w:lang w:val="en-US"/>
              </w:rPr>
              <w:t>12</w:t>
            </w:r>
            <w:r>
              <w:rPr>
                <w:rFonts w:hint="eastAsia"/>
                <w:b/>
                <w:bCs/>
                <w:szCs w:val="24"/>
                <w:lang w:val="en-US"/>
              </w:rPr>
              <w:t>个月（含）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-3年（含）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</w:t>
            </w:r>
            <w:r>
              <w:rPr>
                <w:rFonts w:hint="eastAsia" w:eastAsia="宋体"/>
                <w:szCs w:val="24"/>
                <w:lang w:eastAsia="zh-CN"/>
              </w:rPr>
              <w:t>年</w:t>
            </w:r>
            <w:r>
              <w:rPr>
                <w:rFonts w:hint="eastAsia" w:eastAsia="宋体"/>
                <w:szCs w:val="24"/>
              </w:rPr>
              <w:t>度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889" w:type="pct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1</w:t>
            </w: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15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9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18028.9</w:t>
            </w:r>
          </w:p>
        </w:tc>
        <w:tc>
          <w:tcPr>
            <w:tcW w:w="889" w:type="pct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7087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8245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4702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47.37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889" w:type="pct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18.62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21.66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2.35</w:t>
            </w:r>
            <w:r>
              <w:rPr>
                <w:rFonts w:hint="eastAsia"/>
                <w:lang w:val="en-US"/>
              </w:rPr>
              <w:t>%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Style w:val="8"/>
        <w:tblW w:w="7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917"/>
        <w:gridCol w:w="2051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2023年度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（三）按产品运作模式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701"/>
        <w:gridCol w:w="1959"/>
        <w:gridCol w:w="231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2023年度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18028.9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20034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47.37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52.66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（四）按产品风险等级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2023年度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38062.9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理财产品到期情况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  <w:lang w:eastAsia="zh-CN"/>
        </w:rPr>
        <w:t>2023年度</w:t>
      </w:r>
      <w:r>
        <w:rPr>
          <w:rFonts w:hint="eastAsia"/>
          <w:bCs/>
          <w:sz w:val="28"/>
          <w:szCs w:val="32"/>
        </w:rPr>
        <w:t>，我行合计兑付理财本息共计</w:t>
      </w:r>
      <w:r>
        <w:rPr>
          <w:rFonts w:hint="eastAsia"/>
          <w:bCs/>
          <w:sz w:val="28"/>
          <w:szCs w:val="32"/>
          <w:lang w:val="en-US" w:eastAsia="zh-CN"/>
        </w:rPr>
        <w:t>77196.67</w:t>
      </w:r>
      <w:r>
        <w:rPr>
          <w:rFonts w:hint="eastAsia"/>
          <w:bCs/>
          <w:sz w:val="28"/>
          <w:szCs w:val="32"/>
          <w:lang w:val="en-US"/>
        </w:rPr>
        <w:t>万元。其中，</w:t>
      </w:r>
      <w:r>
        <w:rPr>
          <w:rFonts w:hint="eastAsia"/>
          <w:bCs/>
          <w:sz w:val="28"/>
          <w:szCs w:val="32"/>
        </w:rPr>
        <w:t>兑付封闭式净值型理财产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46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</w:t>
      </w:r>
      <w:r>
        <w:rPr>
          <w:rFonts w:hint="eastAsia"/>
          <w:bCs/>
          <w:sz w:val="28"/>
          <w:szCs w:val="32"/>
          <w:lang w:val="en-US"/>
        </w:rPr>
        <w:t>，</w:t>
      </w:r>
      <w:r>
        <w:rPr>
          <w:rFonts w:hint="eastAsia"/>
          <w:bCs/>
          <w:sz w:val="28"/>
          <w:szCs w:val="32"/>
        </w:rPr>
        <w:t>兑付理财本息合计</w:t>
      </w:r>
      <w:r>
        <w:rPr>
          <w:rFonts w:hint="eastAsia"/>
          <w:bCs/>
          <w:sz w:val="28"/>
          <w:szCs w:val="32"/>
          <w:lang w:val="en-US" w:eastAsia="zh-CN"/>
        </w:rPr>
        <w:t>65462.9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28"/>
          <w:szCs w:val="32"/>
        </w:rPr>
        <w:t>元</w:t>
      </w:r>
      <w:r>
        <w:rPr>
          <w:rFonts w:hint="eastAsia"/>
          <w:bCs/>
          <w:sz w:val="28"/>
          <w:szCs w:val="32"/>
          <w:lang w:val="en-US"/>
        </w:rPr>
        <w:t>；兑付客户赎回的开放式理财本息合计</w:t>
      </w:r>
      <w:r>
        <w:rPr>
          <w:rFonts w:hint="eastAsia"/>
          <w:bCs/>
          <w:sz w:val="28"/>
          <w:szCs w:val="32"/>
          <w:lang w:val="en-US" w:eastAsia="zh-CN"/>
        </w:rPr>
        <w:t>11733.77</w:t>
      </w:r>
      <w:r>
        <w:rPr>
          <w:rFonts w:hint="eastAsia"/>
          <w:bCs/>
          <w:sz w:val="28"/>
          <w:szCs w:val="32"/>
          <w:lang w:val="en-US"/>
        </w:rPr>
        <w:t>万元。兑付的理财产品均达公告业绩基准，并按照产品说明书的约定按时兑付，兑付情况如下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：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853"/>
        <w:gridCol w:w="1962"/>
        <w:gridCol w:w="224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 xml:space="preserve">   兑付合计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2023年度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46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65462.9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11733.77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77196.67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84.8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15.2</w:t>
            </w:r>
            <w:r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理财产品存续情况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截至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2023年12月31日</w:t>
      </w:r>
      <w:r>
        <w:rPr>
          <w:rFonts w:ascii="Times New Roman" w:hAnsi="Times New Roman" w:cs="Times New Roman"/>
          <w:bCs/>
          <w:sz w:val="28"/>
          <w:szCs w:val="32"/>
        </w:rPr>
        <w:t>，我行</w:t>
      </w:r>
      <w:r>
        <w:rPr>
          <w:rFonts w:hint="eastAsia" w:ascii="Times New Roman" w:hAnsi="Times New Roman" w:cs="Times New Roman"/>
          <w:bCs/>
          <w:sz w:val="28"/>
          <w:szCs w:val="32"/>
        </w:rPr>
        <w:t>存续理财产品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34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28"/>
          <w:szCs w:val="32"/>
        </w:rPr>
        <w:t>理财余额为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28082.96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(一)按产品运作模式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57"/>
        <w:gridCol w:w="2301"/>
        <w:gridCol w:w="251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2023年</w:t>
            </w:r>
            <w:r>
              <w:rPr>
                <w:rFonts w:hint="eastAsia" w:eastAsia="宋体"/>
                <w:szCs w:val="24"/>
                <w:lang w:eastAsia="zh-CN"/>
              </w:rPr>
              <w:t>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17723.55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10359.41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28082.96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63.11</w:t>
            </w:r>
            <w:r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36.89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spacing w:line="560" w:lineRule="exact"/>
        <w:ind w:firstLine="592" w:firstLineChars="200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(二)按风险等级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，中低风险评级理财产品占主导，主要投资于债券资产、买入返售资产及货币市场基金，总体风险可控。</w:t>
      </w: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2023年</w:t>
            </w:r>
            <w:r>
              <w:rPr>
                <w:rFonts w:hint="eastAsia" w:eastAsia="宋体"/>
                <w:szCs w:val="24"/>
                <w:lang w:eastAsia="zh-CN"/>
              </w:rPr>
              <w:t>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34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28082.96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28082.96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3"/>
        </w:numPr>
        <w:spacing w:line="560" w:lineRule="exact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理财产品投资资产情况</w:t>
      </w:r>
    </w:p>
    <w:p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截止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2023年12月31日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,我行理财投资资产余额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30275.86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万元（穿透后），其中投资于债券类资产23268.53万元，买入返售资产4842.11万元，公募基金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768.78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万元，同业存单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538.75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现金及银行存款857.69万元，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未投资非标准债权资产及其他资产。具体如下表：</w:t>
      </w:r>
    </w:p>
    <w:tbl>
      <w:tblPr>
        <w:tblStyle w:val="8"/>
        <w:tblpPr w:leftFromText="180" w:rightFromText="180" w:vertAnchor="text" w:horzAnchor="margin" w:tblpXSpec="right" w:tblpY="299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3451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23268.53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76.86</w:t>
            </w:r>
            <w:r>
              <w:rPr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4842.11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15.99</w:t>
            </w:r>
            <w:r>
              <w:rPr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768.78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2.54</w:t>
            </w:r>
            <w:r>
              <w:rPr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538.75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rFonts w:hint="eastAsia"/>
                <w:szCs w:val="24"/>
                <w:lang w:val="en-US" w:eastAsia="zh-CN"/>
              </w:rPr>
              <w:t>78</w:t>
            </w:r>
            <w:r>
              <w:rPr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现金及银行存款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857.69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30275.86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100.00%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综上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我行存续理财均为固收类理财产品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主要投资于各类债券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、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回购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、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公募基金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及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同业存单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整体风险可控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且资产配置流动性较高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可快速变现资产能较好地覆盖投资者赎回压力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。后续，我行将继续要求管理人采取较为稳健的投资策略，并密切关注收益率曲线情况，充分对未来市场进行预判及跟踪，根据收益率变化情况及时调整组合配置；密切注意信用风险及相关负面舆情，建立有效的信用风险预警机制，根据预警情况及时做出相应的调整；做好流动性管理，根据市场资金面情况及开放期安排，及时调整产品的资产配置。保障各产品风险可测、可控、可承受，保障我行理财业务稳健发展。</w:t>
      </w: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浙江南浔农村商业银行股份有限公司</w:t>
      </w: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12月31日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浙江南浔农村商业银行股份有限公司</w:t>
      </w:r>
    </w:p>
    <w:p>
      <w:pPr>
        <w:widowControl/>
        <w:spacing w:line="560" w:lineRule="exact"/>
        <w:ind w:right="1280" w:firstLine="640" w:firstLineChars="200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年0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12月31日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 xml:space="preserve">  </w:t>
      </w:r>
    </w:p>
    <w:p>
      <w:pPr>
        <w:widowControl/>
        <w:spacing w:line="560" w:lineRule="exact"/>
        <w:ind w:firstLine="640" w:firstLineChars="200"/>
        <w:jc w:val="center"/>
        <w:rPr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              </w:t>
      </w:r>
    </w:p>
    <w:sectPr>
      <w:footerReference r:id="rId3" w:type="default"/>
      <w:pgSz w:w="11910" w:h="16840"/>
      <w:pgMar w:top="1500" w:right="1380" w:bottom="1500" w:left="1500" w:header="0" w:footer="13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9716770</wp:posOffset>
              </wp:positionV>
              <wp:extent cx="167005" cy="139700"/>
              <wp:effectExtent l="0" t="0" r="0" b="0"/>
              <wp:wrapNone/>
              <wp:docPr id="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left:291.05pt;margin-top:765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ha/APaAAAADQEAAA8AAAAAAAAAAQAgAAAAIgAAAGRycy9kb3ducmV2LnhtbFBL&#10;AQIUABQAAAAIAIdO4kCBuLUO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40723"/>
    <w:multiLevelType w:val="multilevel"/>
    <w:tmpl w:val="0A440723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JhMTJjNzMzMGNhOWM5MDE2MmFiMmZmYzMxNDMifQ=="/>
  </w:docVars>
  <w:rsids>
    <w:rsidRoot w:val="0045673D"/>
    <w:rsid w:val="00003747"/>
    <w:rsid w:val="00013E0E"/>
    <w:rsid w:val="00031C28"/>
    <w:rsid w:val="00040D05"/>
    <w:rsid w:val="001718D2"/>
    <w:rsid w:val="001E44FB"/>
    <w:rsid w:val="00222DE4"/>
    <w:rsid w:val="002A2DE1"/>
    <w:rsid w:val="002B608F"/>
    <w:rsid w:val="002F6F0E"/>
    <w:rsid w:val="0031488E"/>
    <w:rsid w:val="003777D7"/>
    <w:rsid w:val="0045673D"/>
    <w:rsid w:val="0049572C"/>
    <w:rsid w:val="004C6198"/>
    <w:rsid w:val="00691BA1"/>
    <w:rsid w:val="00705CA5"/>
    <w:rsid w:val="00735B41"/>
    <w:rsid w:val="00822EEC"/>
    <w:rsid w:val="00875523"/>
    <w:rsid w:val="0091074A"/>
    <w:rsid w:val="009376F7"/>
    <w:rsid w:val="009563E5"/>
    <w:rsid w:val="00A92166"/>
    <w:rsid w:val="00AC132F"/>
    <w:rsid w:val="00AE1143"/>
    <w:rsid w:val="00AE488A"/>
    <w:rsid w:val="00B125B7"/>
    <w:rsid w:val="00B23E29"/>
    <w:rsid w:val="00C175DD"/>
    <w:rsid w:val="00C71947"/>
    <w:rsid w:val="00CB319C"/>
    <w:rsid w:val="00DA61AD"/>
    <w:rsid w:val="00ED35C1"/>
    <w:rsid w:val="00EE3056"/>
    <w:rsid w:val="00F56ACD"/>
    <w:rsid w:val="00F75220"/>
    <w:rsid w:val="00FD60D1"/>
    <w:rsid w:val="2C5A6C58"/>
    <w:rsid w:val="34504C29"/>
    <w:rsid w:val="405926AD"/>
    <w:rsid w:val="46092573"/>
    <w:rsid w:val="4AE6599C"/>
    <w:rsid w:val="584A6390"/>
    <w:rsid w:val="64682077"/>
    <w:rsid w:val="67561ABE"/>
    <w:rsid w:val="73E13BF4"/>
    <w:rsid w:val="7AAC0793"/>
    <w:rsid w:val="7BB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0"/>
    <w:qFormat/>
    <w:uiPriority w:val="1"/>
    <w:rPr>
      <w:sz w:val="30"/>
      <w:szCs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customStyle="1" w:styleId="10">
    <w:name w:val="正文文本 Char"/>
    <w:link w:val="3"/>
    <w:qFormat/>
    <w:uiPriority w:val="1"/>
    <w:rPr>
      <w:rFonts w:ascii="仿宋" w:hAnsi="仿宋" w:eastAsia="仿宋" w:cs="仿宋"/>
      <w:kern w:val="0"/>
      <w:sz w:val="30"/>
      <w:szCs w:val="30"/>
      <w:lang w:val="zh-CN" w:bidi="zh-CN"/>
    </w:rPr>
  </w:style>
  <w:style w:type="character" w:customStyle="1" w:styleId="11">
    <w:name w:val="批注框文本 Char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眉 Char"/>
    <w:link w:val="6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Char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文档结构图 Char"/>
    <w:link w:val="2"/>
    <w:semiHidden/>
    <w:qFormat/>
    <w:uiPriority w:val="0"/>
    <w:rPr>
      <w:rFonts w:ascii="宋体" w:hAnsi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陆琴美</dc:creator>
  <cp:lastModifiedBy>陆琴美</cp:lastModifiedBy>
  <dcterms:modified xsi:type="dcterms:W3CDTF">2024-01-05T01:00:46Z</dcterms:modified>
  <dc:title>南浔农商行2020年理财产品第三季度报告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F1431527EA014ECEB32A9D94F0B8E91D_13</vt:lpwstr>
  </property>
</Properties>
</file>