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南浔农商行</w:t>
      </w:r>
      <w:r>
        <w:rPr>
          <w:rFonts w:ascii="方正小标宋简体" w:hAnsi="方正小标宋简体" w:eastAsia="方正小标宋简体" w:cs="方正小标宋简体"/>
          <w:bCs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4</w:t>
      </w:r>
      <w:r>
        <w:rPr>
          <w:rFonts w:ascii="方正小标宋简体" w:hAnsi="方正小标宋简体" w:eastAsia="方正小标宋简体" w:cs="方正小标宋简体"/>
          <w:bCs/>
          <w:sz w:val="36"/>
          <w:szCs w:val="36"/>
        </w:rPr>
        <w:t>年理财产品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一</w:t>
      </w:r>
      <w:r>
        <w:rPr>
          <w:rFonts w:ascii="方正小标宋简体" w:hAnsi="方正小标宋简体" w:eastAsia="方正小标宋简体" w:cs="方正小标宋简体"/>
          <w:bCs/>
          <w:sz w:val="36"/>
          <w:szCs w:val="36"/>
        </w:rPr>
        <w:t>季度报告</w:t>
      </w:r>
    </w:p>
    <w:p>
      <w:pPr>
        <w:widowControl/>
        <w:spacing w:line="560" w:lineRule="exact"/>
        <w:rPr>
          <w:bCs/>
          <w:sz w:val="32"/>
          <w:szCs w:val="32"/>
        </w:rPr>
      </w:pPr>
    </w:p>
    <w:p>
      <w:pPr>
        <w:widowControl/>
        <w:spacing w:line="560" w:lineRule="exact"/>
        <w:ind w:firstLine="560" w:firstLineChars="200"/>
        <w:rPr>
          <w:bCs/>
          <w:sz w:val="28"/>
          <w:szCs w:val="32"/>
        </w:rPr>
      </w:pPr>
      <w:r>
        <w:rPr>
          <w:rFonts w:hint="eastAsia" w:ascii="Times New Roman" w:hAnsi="Times New Roman" w:cs="Times New Roman"/>
          <w:bCs/>
          <w:sz w:val="28"/>
          <w:szCs w:val="32"/>
          <w:lang w:val="en-US"/>
        </w:rPr>
        <w:t>截止</w:t>
      </w:r>
      <w:r>
        <w:rPr>
          <w:rFonts w:hint="eastAsia" w:ascii="Times New Roman" w:hAnsi="Times New Roman" w:cs="Times New Roman"/>
          <w:bCs/>
          <w:sz w:val="28"/>
          <w:szCs w:val="32"/>
          <w:lang w:val="en-US" w:eastAsia="zh-CN"/>
        </w:rPr>
        <w:t>2024年3月31日</w:t>
      </w:r>
      <w:r>
        <w:rPr>
          <w:rFonts w:hint="eastAsia" w:ascii="Times New Roman" w:hAnsi="Times New Roman" w:cs="Times New Roman"/>
          <w:bCs/>
          <w:sz w:val="28"/>
          <w:szCs w:val="32"/>
          <w:lang w:val="en-US"/>
        </w:rPr>
        <w:t>，我行</w:t>
      </w:r>
      <w:r>
        <w:rPr>
          <w:rFonts w:hint="eastAsia" w:ascii="Times New Roman" w:hAnsi="Times New Roman" w:cs="Times New Roman"/>
          <w:bCs/>
          <w:sz w:val="28"/>
          <w:szCs w:val="32"/>
          <w:lang w:val="en-US" w:eastAsia="zh-CN"/>
        </w:rPr>
        <w:t>2024年一季度</w:t>
      </w:r>
      <w:r>
        <w:rPr>
          <w:rFonts w:hint="eastAsia" w:ascii="Times New Roman" w:hAnsi="Times New Roman" w:cs="Times New Roman"/>
          <w:bCs/>
          <w:sz w:val="28"/>
          <w:szCs w:val="32"/>
          <w:lang w:val="en-US"/>
        </w:rPr>
        <w:t>理财业务整体平稳运行。</w:t>
      </w:r>
      <w:r>
        <w:rPr>
          <w:rFonts w:hint="eastAsia"/>
          <w:bCs/>
          <w:sz w:val="28"/>
          <w:szCs w:val="32"/>
        </w:rPr>
        <w:t>具体情况如下：</w:t>
      </w:r>
    </w:p>
    <w:p>
      <w:pPr>
        <w:widowControl/>
        <w:numPr>
          <w:ilvl w:val="0"/>
          <w:numId w:val="1"/>
        </w:numPr>
        <w:spacing w:line="560" w:lineRule="exact"/>
        <w:ind w:firstLine="560" w:firstLineChars="200"/>
        <w:rPr>
          <w:rFonts w:ascii="黑体" w:hAnsi="黑体" w:eastAsia="黑体" w:cs="黑体"/>
          <w:bCs/>
          <w:sz w:val="28"/>
          <w:szCs w:val="32"/>
        </w:rPr>
      </w:pPr>
      <w:r>
        <w:rPr>
          <w:rFonts w:hint="eastAsia" w:ascii="黑体" w:hAnsi="黑体" w:eastAsia="黑体" w:cs="黑体"/>
          <w:bCs/>
          <w:sz w:val="28"/>
          <w:szCs w:val="32"/>
        </w:rPr>
        <w:t>理财产品发行情况</w:t>
      </w:r>
    </w:p>
    <w:p>
      <w:pPr>
        <w:widowControl/>
        <w:spacing w:line="560" w:lineRule="exact"/>
        <w:ind w:firstLine="560" w:firstLineChars="200"/>
        <w:rPr>
          <w:rFonts w:ascii="Times New Roman" w:hAnsi="Times New Roman" w:cs="Times New Roman"/>
          <w:bCs/>
          <w:sz w:val="28"/>
          <w:szCs w:val="32"/>
          <w:lang w:val="en-US"/>
        </w:rPr>
      </w:pPr>
      <w:r>
        <w:rPr>
          <w:rFonts w:hint="eastAsia" w:ascii="Times New Roman" w:hAnsi="Times New Roman" w:cs="Times New Roman"/>
          <w:bCs/>
          <w:sz w:val="28"/>
          <w:szCs w:val="32"/>
          <w:lang w:val="en-US" w:eastAsia="zh-CN"/>
        </w:rPr>
        <w:t>2024年一季度</w:t>
      </w:r>
      <w:r>
        <w:rPr>
          <w:rFonts w:hint="eastAsia"/>
          <w:bCs/>
          <w:sz w:val="28"/>
          <w:szCs w:val="32"/>
        </w:rPr>
        <w:t>，</w:t>
      </w:r>
      <w:r>
        <w:rPr>
          <w:rFonts w:hint="eastAsia" w:ascii="Times New Roman" w:hAnsi="Times New Roman" w:cs="Times New Roman"/>
          <w:bCs/>
          <w:sz w:val="28"/>
          <w:szCs w:val="32"/>
          <w:lang w:val="en-US"/>
        </w:rPr>
        <w:t>共发行封闭式净值型理财产品</w:t>
      </w:r>
      <w:r>
        <w:rPr>
          <w:rFonts w:hint="eastAsia" w:ascii="Times New Roman" w:hAnsi="Times New Roman" w:cs="Times New Roman"/>
          <w:bCs/>
          <w:sz w:val="28"/>
          <w:szCs w:val="32"/>
          <w:lang w:val="en-US" w:eastAsia="zh-CN"/>
        </w:rPr>
        <w:t>2</w:t>
      </w:r>
      <w:r>
        <w:rPr>
          <w:rFonts w:hint="eastAsia" w:ascii="Times New Roman" w:hAnsi="Times New Roman" w:cs="Times New Roman"/>
          <w:bCs/>
          <w:sz w:val="28"/>
          <w:szCs w:val="32"/>
          <w:lang w:val="en-US"/>
        </w:rPr>
        <w:t>期，募集理财资金</w:t>
      </w:r>
      <w:r>
        <w:rPr>
          <w:rFonts w:hint="eastAsia" w:ascii="Times New Roman" w:hAnsi="Times New Roman" w:cs="Times New Roman"/>
          <w:bCs/>
          <w:sz w:val="28"/>
          <w:szCs w:val="32"/>
          <w:lang w:val="en-US" w:eastAsia="zh-CN"/>
        </w:rPr>
        <w:t>774</w:t>
      </w:r>
      <w:r>
        <w:rPr>
          <w:rFonts w:hint="eastAsia" w:ascii="Times New Roman" w:hAnsi="Times New Roman" w:cs="Times New Roman"/>
          <w:bCs/>
          <w:sz w:val="28"/>
          <w:szCs w:val="32"/>
          <w:lang w:val="en-US"/>
        </w:rPr>
        <w:t>万元；一个月内开放式净值型理财产品</w:t>
      </w:r>
      <w:r>
        <w:rPr>
          <w:rFonts w:ascii="Times New Roman" w:hAnsi="Times New Roman" w:cs="Times New Roman"/>
          <w:bCs/>
          <w:sz w:val="28"/>
          <w:szCs w:val="32"/>
          <w:lang w:val="en-US"/>
        </w:rPr>
        <w:t>存续4</w:t>
      </w:r>
      <w:r>
        <w:rPr>
          <w:rFonts w:hint="eastAsia" w:ascii="Times New Roman" w:hAnsi="Times New Roman" w:cs="Times New Roman"/>
          <w:bCs/>
          <w:sz w:val="28"/>
          <w:szCs w:val="32"/>
          <w:lang w:val="en-US"/>
        </w:rPr>
        <w:t>只，合计申购金额</w:t>
      </w:r>
      <w:r>
        <w:rPr>
          <w:rFonts w:hint="eastAsia" w:ascii="Times New Roman" w:hAnsi="Times New Roman" w:cs="Times New Roman"/>
          <w:bCs/>
          <w:sz w:val="28"/>
          <w:szCs w:val="32"/>
          <w:lang w:val="en-US" w:eastAsia="zh-CN"/>
        </w:rPr>
        <w:t>6183.6</w:t>
      </w:r>
      <w:r>
        <w:rPr>
          <w:rFonts w:hint="eastAsia" w:ascii="Times New Roman" w:hAnsi="Times New Roman" w:cs="Times New Roman"/>
          <w:bCs/>
          <w:sz w:val="28"/>
          <w:szCs w:val="32"/>
          <w:lang w:val="en-US"/>
        </w:rPr>
        <w:t>万元。</w:t>
      </w:r>
    </w:p>
    <w:p>
      <w:pPr>
        <w:pStyle w:val="7"/>
        <w:widowControl/>
        <w:numPr>
          <w:ilvl w:val="0"/>
          <w:numId w:val="2"/>
        </w:numPr>
        <w:shd w:val="clear" w:color="auto" w:fill="FFFFFF"/>
        <w:spacing w:beforeAutospacing="0" w:afterAutospacing="0" w:line="560" w:lineRule="exact"/>
        <w:ind w:left="440" w:leftChars="200"/>
        <w:jc w:val="both"/>
        <w:rPr>
          <w:rFonts w:ascii="Times New Roman" w:hAnsi="Times New Roman" w:eastAsia="楷体"/>
          <w:color w:val="333333"/>
          <w:spacing w:val="8"/>
          <w:sz w:val="28"/>
          <w:szCs w:val="32"/>
          <w:shd w:val="clear" w:color="auto" w:fill="FFFFFF"/>
          <w:lang w:val="en-US"/>
        </w:rPr>
      </w:pPr>
      <w:r>
        <w:rPr>
          <w:rFonts w:hint="eastAsia" w:ascii="Times New Roman" w:hAnsi="Times New Roman" w:eastAsia="楷体"/>
          <w:color w:val="333333"/>
          <w:spacing w:val="8"/>
          <w:sz w:val="28"/>
          <w:szCs w:val="32"/>
          <w:shd w:val="clear" w:color="auto" w:fill="FFFFFF"/>
          <w:lang w:val="en-US"/>
        </w:rPr>
        <w:t>按期限分</w:t>
      </w:r>
    </w:p>
    <w:p>
      <w:pPr>
        <w:widowControl/>
        <w:spacing w:line="560" w:lineRule="exact"/>
        <w:ind w:firstLine="560" w:firstLineChars="200"/>
        <w:rPr>
          <w:rFonts w:ascii="Times New Roman" w:hAnsi="Times New Roman" w:cs="Times New Roman"/>
          <w:bCs/>
          <w:sz w:val="28"/>
          <w:szCs w:val="32"/>
          <w:lang w:val="en-US"/>
        </w:rPr>
      </w:pPr>
      <w:r>
        <w:rPr>
          <w:rFonts w:hint="eastAsia" w:ascii="Times New Roman" w:hAnsi="Times New Roman" w:cs="Times New Roman"/>
          <w:bCs/>
          <w:sz w:val="28"/>
          <w:szCs w:val="32"/>
          <w:lang w:val="en-US"/>
        </w:rPr>
        <w:t>根据客户需求，</w:t>
      </w:r>
      <w:r>
        <w:rPr>
          <w:rFonts w:hint="eastAsia" w:ascii="Times New Roman" w:hAnsi="Times New Roman" w:cs="Times New Roman"/>
          <w:bCs/>
          <w:sz w:val="28"/>
          <w:szCs w:val="32"/>
          <w:lang w:val="en-US" w:eastAsia="zh-CN"/>
        </w:rPr>
        <w:t>一季度</w:t>
      </w:r>
      <w:r>
        <w:rPr>
          <w:rFonts w:hint="eastAsia" w:ascii="Times New Roman" w:hAnsi="Times New Roman" w:cs="Times New Roman"/>
          <w:bCs/>
          <w:sz w:val="28"/>
          <w:szCs w:val="32"/>
          <w:lang w:val="en-US"/>
        </w:rPr>
        <w:t>我行发行的理财产品以中短期限为主，最长期限</w:t>
      </w:r>
      <w:r>
        <w:rPr>
          <w:rFonts w:hint="eastAsia" w:ascii="Times New Roman" w:hAnsi="Times New Roman" w:cs="Times New Roman"/>
          <w:bCs/>
          <w:sz w:val="28"/>
          <w:szCs w:val="32"/>
          <w:lang w:val="en-US" w:eastAsia="zh-CN"/>
        </w:rPr>
        <w:t>6个月</w:t>
      </w:r>
      <w:r>
        <w:rPr>
          <w:rFonts w:hint="eastAsia" w:ascii="Times New Roman" w:hAnsi="Times New Roman" w:cs="Times New Roman"/>
          <w:bCs/>
          <w:sz w:val="28"/>
          <w:szCs w:val="32"/>
          <w:lang w:val="en-US"/>
        </w:rPr>
        <w:t>，详见下表：</w:t>
      </w:r>
    </w:p>
    <w:p>
      <w:pPr>
        <w:widowControl/>
        <w:spacing w:line="0" w:lineRule="atLeast"/>
        <w:rPr>
          <w:rFonts w:ascii="Times New Roman" w:hAnsi="Times New Roman" w:cs="Times New Roman"/>
          <w:bCs/>
          <w:szCs w:val="24"/>
          <w:lang w:val="en-US"/>
        </w:rPr>
      </w:pPr>
      <w:r>
        <w:rPr>
          <w:rFonts w:hint="eastAsia" w:ascii="Times New Roman" w:hAnsi="Times New Roman" w:cs="Times New Roman"/>
          <w:bCs/>
          <w:szCs w:val="24"/>
          <w:lang w:val="en-US"/>
        </w:rPr>
        <w:t xml:space="preserve">                                                                                                                     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1"/>
        <w:gridCol w:w="1432"/>
        <w:gridCol w:w="1087"/>
        <w:gridCol w:w="1607"/>
        <w:gridCol w:w="1506"/>
        <w:gridCol w:w="1363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7" w:type="pct"/>
            <w:gridSpan w:val="2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601" w:type="pct"/>
            <w:vAlign w:val="center"/>
          </w:tcPr>
          <w:p>
            <w:pPr>
              <w:jc w:val="center"/>
              <w:rPr>
                <w:b/>
                <w:bCs/>
                <w:szCs w:val="24"/>
                <w:lang w:val="en-US"/>
              </w:rPr>
            </w:pPr>
            <w:r>
              <w:rPr>
                <w:rFonts w:hint="eastAsia"/>
                <w:b/>
                <w:bCs/>
                <w:szCs w:val="24"/>
                <w:lang w:val="en-US"/>
              </w:rPr>
              <w:t>1个月内</w:t>
            </w:r>
          </w:p>
        </w:tc>
        <w:tc>
          <w:tcPr>
            <w:tcW w:w="889" w:type="pct"/>
          </w:tcPr>
          <w:p>
            <w:pPr>
              <w:jc w:val="center"/>
              <w:rPr>
                <w:b/>
                <w:bCs/>
                <w:szCs w:val="24"/>
                <w:lang w:val="en-US"/>
              </w:rPr>
            </w:pPr>
            <w:r>
              <w:rPr>
                <w:rFonts w:hint="eastAsia"/>
                <w:b/>
                <w:bCs/>
                <w:szCs w:val="24"/>
                <w:lang w:val="en-US"/>
              </w:rPr>
              <w:t>90天</w:t>
            </w:r>
            <w:r>
              <w:rPr>
                <w:b/>
                <w:bCs/>
                <w:szCs w:val="24"/>
                <w:lang w:val="en-US"/>
              </w:rPr>
              <w:t>（</w:t>
            </w:r>
            <w:r>
              <w:rPr>
                <w:rFonts w:hint="eastAsia"/>
                <w:b/>
                <w:bCs/>
                <w:szCs w:val="24"/>
                <w:lang w:val="en-US"/>
              </w:rPr>
              <w:t>含</w:t>
            </w:r>
            <w:r>
              <w:rPr>
                <w:b/>
                <w:bCs/>
                <w:szCs w:val="24"/>
                <w:lang w:val="en-US"/>
              </w:rPr>
              <w:t>）</w:t>
            </w:r>
            <w:r>
              <w:rPr>
                <w:rFonts w:hint="eastAsia"/>
                <w:b/>
                <w:bCs/>
                <w:szCs w:val="24"/>
                <w:lang w:val="en-US"/>
              </w:rPr>
              <w:t>-6个月</w:t>
            </w:r>
            <w:r>
              <w:rPr>
                <w:b/>
                <w:bCs/>
                <w:szCs w:val="24"/>
                <w:lang w:val="en-US"/>
              </w:rPr>
              <w:t>（</w:t>
            </w:r>
            <w:r>
              <w:rPr>
                <w:rFonts w:hint="eastAsia"/>
                <w:b/>
                <w:bCs/>
                <w:szCs w:val="24"/>
                <w:lang w:val="en-US"/>
              </w:rPr>
              <w:t>含</w:t>
            </w:r>
            <w:r>
              <w:rPr>
                <w:b/>
                <w:bCs/>
                <w:szCs w:val="24"/>
                <w:lang w:val="en-US"/>
              </w:rPr>
              <w:t>）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6</w:t>
            </w:r>
            <w:r>
              <w:rPr>
                <w:rFonts w:hint="eastAsia"/>
                <w:b/>
                <w:bCs/>
                <w:szCs w:val="24"/>
                <w:lang w:val="en-US"/>
              </w:rPr>
              <w:t>-</w:t>
            </w:r>
            <w:r>
              <w:rPr>
                <w:b/>
                <w:bCs/>
                <w:szCs w:val="24"/>
                <w:lang w:val="en-US"/>
              </w:rPr>
              <w:t>12</w:t>
            </w:r>
            <w:r>
              <w:rPr>
                <w:rFonts w:hint="eastAsia"/>
                <w:b/>
                <w:bCs/>
                <w:szCs w:val="24"/>
                <w:lang w:val="en-US"/>
              </w:rPr>
              <w:t>个月（含）</w:t>
            </w:r>
          </w:p>
        </w:tc>
        <w:tc>
          <w:tcPr>
            <w:tcW w:w="754" w:type="pct"/>
            <w:vAlign w:val="center"/>
          </w:tcPr>
          <w:p>
            <w:pPr>
              <w:jc w:val="center"/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1</w:t>
            </w:r>
            <w:r>
              <w:rPr>
                <w:rFonts w:hint="eastAsia"/>
                <w:b/>
                <w:bCs/>
                <w:szCs w:val="24"/>
                <w:lang w:val="en-US"/>
              </w:rPr>
              <w:t>-3年（含）</w:t>
            </w:r>
          </w:p>
        </w:tc>
        <w:tc>
          <w:tcPr>
            <w:tcW w:w="666" w:type="pct"/>
            <w:vAlign w:val="center"/>
          </w:tcPr>
          <w:p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5" w:type="pct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bCs/>
                <w:szCs w:val="24"/>
                <w:lang w:val="en-US" w:eastAsia="zh-CN"/>
              </w:rPr>
            </w:pPr>
            <w:r>
              <w:rPr>
                <w:rFonts w:hint="eastAsia" w:eastAsia="宋体"/>
                <w:szCs w:val="24"/>
                <w:lang w:eastAsia="zh-CN"/>
              </w:rPr>
              <w:t>2024年一季度</w:t>
            </w:r>
          </w:p>
        </w:tc>
        <w:tc>
          <w:tcPr>
            <w:tcW w:w="792" w:type="pct"/>
            <w:vAlign w:val="center"/>
          </w:tcPr>
          <w:p>
            <w:pPr>
              <w:jc w:val="center"/>
              <w:rPr>
                <w:rFonts w:eastAsia="宋体"/>
                <w:szCs w:val="24"/>
              </w:rPr>
            </w:pPr>
            <w:r>
              <w:rPr>
                <w:rFonts w:hint="eastAsia"/>
                <w:szCs w:val="24"/>
              </w:rPr>
              <w:t>期数</w:t>
            </w:r>
          </w:p>
        </w:tc>
        <w:tc>
          <w:tcPr>
            <w:tcW w:w="601" w:type="pct"/>
            <w:vAlign w:val="center"/>
          </w:tcPr>
          <w:p>
            <w:pPr>
              <w:jc w:val="center"/>
              <w:rPr>
                <w:rFonts w:hint="eastAsia" w:eastAsia="仿宋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0</w:t>
            </w:r>
          </w:p>
        </w:tc>
        <w:tc>
          <w:tcPr>
            <w:tcW w:w="889" w:type="pct"/>
          </w:tcPr>
          <w:p>
            <w:pPr>
              <w:jc w:val="center"/>
              <w:rPr>
                <w:rFonts w:hint="eastAsia" w:eastAsia="仿宋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2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eastAsia="仿宋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0</w:t>
            </w:r>
          </w:p>
        </w:tc>
        <w:tc>
          <w:tcPr>
            <w:tcW w:w="754" w:type="pct"/>
            <w:vAlign w:val="center"/>
          </w:tcPr>
          <w:p>
            <w:pPr>
              <w:jc w:val="center"/>
              <w:rPr>
                <w:rFonts w:hint="eastAsia" w:eastAsia="仿宋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0</w:t>
            </w:r>
          </w:p>
        </w:tc>
        <w:tc>
          <w:tcPr>
            <w:tcW w:w="666" w:type="pct"/>
            <w:vAlign w:val="center"/>
          </w:tcPr>
          <w:p>
            <w:pPr>
              <w:jc w:val="center"/>
              <w:rPr>
                <w:rFonts w:hint="default" w:eastAsia="仿宋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5" w:type="pct"/>
            <w:vMerge w:val="continue"/>
            <w:vAlign w:val="center"/>
          </w:tcPr>
          <w:p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92" w:type="pct"/>
            <w:vAlign w:val="center"/>
          </w:tcPr>
          <w:p>
            <w:pPr>
              <w:jc w:val="center"/>
              <w:rPr>
                <w:rFonts w:eastAsia="宋体"/>
                <w:szCs w:val="24"/>
              </w:rPr>
            </w:pPr>
            <w:r>
              <w:rPr>
                <w:rFonts w:hint="eastAsia"/>
                <w:szCs w:val="24"/>
              </w:rPr>
              <w:t>募集金额</w:t>
            </w:r>
            <w:r>
              <w:rPr>
                <w:rFonts w:hint="eastAsia"/>
                <w:szCs w:val="24"/>
                <w:lang w:val="en-US"/>
              </w:rPr>
              <w:t>(万)</w:t>
            </w:r>
          </w:p>
        </w:tc>
        <w:tc>
          <w:tcPr>
            <w:tcW w:w="601" w:type="pct"/>
            <w:vAlign w:val="center"/>
          </w:tcPr>
          <w:p>
            <w:pPr>
              <w:jc w:val="center"/>
              <w:rPr>
                <w:rFonts w:hint="default" w:eastAsia="仿宋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6183.6</w:t>
            </w:r>
          </w:p>
        </w:tc>
        <w:tc>
          <w:tcPr>
            <w:tcW w:w="889" w:type="pct"/>
          </w:tcPr>
          <w:p>
            <w:pPr>
              <w:jc w:val="center"/>
              <w:rPr>
                <w:rFonts w:hint="default" w:eastAsia="仿宋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774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eastAsia="仿宋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0</w:t>
            </w:r>
          </w:p>
        </w:tc>
        <w:tc>
          <w:tcPr>
            <w:tcW w:w="754" w:type="pct"/>
            <w:vAlign w:val="center"/>
          </w:tcPr>
          <w:p>
            <w:pPr>
              <w:jc w:val="center"/>
              <w:rPr>
                <w:rFonts w:hint="default" w:eastAsia="仿宋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0</w:t>
            </w:r>
          </w:p>
        </w:tc>
        <w:tc>
          <w:tcPr>
            <w:tcW w:w="666" w:type="pct"/>
            <w:vAlign w:val="center"/>
          </w:tcPr>
          <w:p>
            <w:pPr>
              <w:jc w:val="center"/>
              <w:rPr>
                <w:rFonts w:hint="default" w:eastAsia="仿宋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6957.6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5" w:type="pct"/>
            <w:vMerge w:val="continue"/>
            <w:vAlign w:val="center"/>
          </w:tcPr>
          <w:p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92" w:type="pct"/>
            <w:vAlign w:val="center"/>
          </w:tcPr>
          <w:p>
            <w:pPr>
              <w:jc w:val="center"/>
              <w:rPr>
                <w:rFonts w:eastAsia="宋体"/>
                <w:szCs w:val="24"/>
              </w:rPr>
            </w:pPr>
            <w:r>
              <w:rPr>
                <w:rFonts w:hint="eastAsia"/>
                <w:szCs w:val="24"/>
              </w:rPr>
              <w:t>金额占比</w:t>
            </w:r>
          </w:p>
        </w:tc>
        <w:tc>
          <w:tcPr>
            <w:tcW w:w="601" w:type="pct"/>
            <w:vAlign w:val="center"/>
          </w:tcPr>
          <w:p>
            <w:pPr>
              <w:jc w:val="center"/>
              <w:textAlignment w:val="center"/>
              <w:rPr>
                <w:szCs w:val="24"/>
                <w:lang w:val="en-US"/>
              </w:rPr>
            </w:pPr>
            <w:r>
              <w:rPr>
                <w:rFonts w:hint="eastAsia"/>
                <w:szCs w:val="24"/>
                <w:lang w:val="en-US" w:eastAsia="zh-CN"/>
              </w:rPr>
              <w:t>88.88</w:t>
            </w:r>
            <w:r>
              <w:rPr>
                <w:rFonts w:hint="eastAsia"/>
                <w:szCs w:val="24"/>
                <w:lang w:val="en-US"/>
              </w:rPr>
              <w:t>%</w:t>
            </w:r>
          </w:p>
        </w:tc>
        <w:tc>
          <w:tcPr>
            <w:tcW w:w="889" w:type="pct"/>
          </w:tcPr>
          <w:p>
            <w:pPr>
              <w:jc w:val="center"/>
              <w:textAlignment w:val="center"/>
              <w:rPr>
                <w:szCs w:val="24"/>
                <w:lang w:val="en-US"/>
              </w:rPr>
            </w:pPr>
            <w:r>
              <w:rPr>
                <w:rFonts w:hint="eastAsia"/>
                <w:szCs w:val="24"/>
                <w:lang w:val="en-US" w:eastAsia="zh-CN"/>
              </w:rPr>
              <w:t>11.12</w:t>
            </w:r>
            <w:r>
              <w:rPr>
                <w:rFonts w:hint="eastAsia"/>
                <w:szCs w:val="24"/>
                <w:lang w:val="en-US"/>
              </w:rPr>
              <w:t>%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textAlignment w:val="center"/>
              <w:rPr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  <w:lang w:val="en-US"/>
              </w:rPr>
              <w:t>%</w:t>
            </w:r>
          </w:p>
        </w:tc>
        <w:tc>
          <w:tcPr>
            <w:tcW w:w="754" w:type="pct"/>
            <w:vAlign w:val="center"/>
          </w:tcPr>
          <w:p>
            <w:pPr>
              <w:jc w:val="center"/>
              <w:textAlignment w:val="center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  <w:lang w:val="en-US"/>
              </w:rPr>
              <w:t>%</w:t>
            </w:r>
          </w:p>
        </w:tc>
        <w:tc>
          <w:tcPr>
            <w:tcW w:w="666" w:type="pct"/>
            <w:vAlign w:val="center"/>
          </w:tcPr>
          <w:p>
            <w:pPr>
              <w:jc w:val="center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  <w:lang w:val="en-US"/>
              </w:rPr>
              <w:t>100</w:t>
            </w:r>
            <w:r>
              <w:rPr>
                <w:rFonts w:hint="eastAsia"/>
                <w:szCs w:val="24"/>
              </w:rPr>
              <w:t>%</w:t>
            </w:r>
          </w:p>
        </w:tc>
      </w:tr>
    </w:tbl>
    <w:p>
      <w:pPr>
        <w:pStyle w:val="7"/>
        <w:widowControl/>
        <w:numPr>
          <w:ilvl w:val="0"/>
          <w:numId w:val="2"/>
        </w:numPr>
        <w:shd w:val="clear" w:color="auto" w:fill="FFFFFF"/>
        <w:spacing w:beforeAutospacing="0" w:afterAutospacing="0" w:line="560" w:lineRule="exact"/>
        <w:ind w:left="440" w:leftChars="200"/>
        <w:jc w:val="both"/>
        <w:rPr>
          <w:rFonts w:ascii="Times New Roman" w:hAnsi="Times New Roman" w:eastAsia="楷体"/>
          <w:spacing w:val="8"/>
          <w:sz w:val="28"/>
          <w:szCs w:val="32"/>
          <w:shd w:val="clear" w:color="auto" w:fill="FFFFFF"/>
          <w:lang w:val="en-US"/>
        </w:rPr>
      </w:pPr>
      <w:r>
        <w:rPr>
          <w:rFonts w:hint="eastAsia" w:ascii="Times New Roman" w:hAnsi="Times New Roman" w:eastAsia="楷体"/>
          <w:spacing w:val="8"/>
          <w:sz w:val="28"/>
          <w:szCs w:val="32"/>
          <w:shd w:val="clear" w:color="auto" w:fill="FFFFFF"/>
          <w:lang w:val="en-US"/>
        </w:rPr>
        <w:t>按收益方式划分</w:t>
      </w:r>
    </w:p>
    <w:tbl>
      <w:tblPr>
        <w:tblStyle w:val="8"/>
        <w:tblW w:w="73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6"/>
        <w:gridCol w:w="1917"/>
        <w:gridCol w:w="2051"/>
        <w:gridCol w:w="1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23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</w:tcBorders>
          </w:tcPr>
          <w:p>
            <w:pPr>
              <w:jc w:val="center"/>
              <w:rPr>
                <w:b/>
                <w:bCs/>
                <w:szCs w:val="24"/>
                <w:lang w:val="en-US"/>
              </w:rPr>
            </w:pPr>
            <w:r>
              <w:rPr>
                <w:rFonts w:hint="eastAsia"/>
                <w:b/>
                <w:bCs/>
                <w:szCs w:val="24"/>
                <w:lang w:val="en-US"/>
              </w:rPr>
              <w:t>非保本浮动型</w:t>
            </w:r>
          </w:p>
        </w:tc>
        <w:tc>
          <w:tcPr>
            <w:tcW w:w="188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4"/>
                <w:lang w:val="en-US"/>
              </w:rPr>
            </w:pPr>
            <w:r>
              <w:rPr>
                <w:rFonts w:hint="eastAsia"/>
                <w:b/>
                <w:bCs/>
                <w:szCs w:val="24"/>
                <w:lang w:val="en-US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"/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2024年一季度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eastAsia="宋体"/>
                <w:szCs w:val="24"/>
              </w:rPr>
            </w:pPr>
            <w:r>
              <w:rPr>
                <w:rFonts w:hint="eastAsia"/>
                <w:szCs w:val="24"/>
              </w:rPr>
              <w:t>期数</w:t>
            </w:r>
          </w:p>
        </w:tc>
        <w:tc>
          <w:tcPr>
            <w:tcW w:w="2051" w:type="dxa"/>
            <w:vAlign w:val="center"/>
          </w:tcPr>
          <w:p>
            <w:pPr>
              <w:jc w:val="center"/>
              <w:rPr>
                <w:rFonts w:hint="eastAsia" w:eastAsia="仿宋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2</w:t>
            </w:r>
          </w:p>
        </w:tc>
        <w:tc>
          <w:tcPr>
            <w:tcW w:w="188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eastAsia="宋体"/>
                <w:szCs w:val="24"/>
              </w:rPr>
            </w:pPr>
            <w:r>
              <w:rPr>
                <w:rFonts w:hint="eastAsia"/>
                <w:szCs w:val="24"/>
              </w:rPr>
              <w:t>募集金额</w:t>
            </w:r>
            <w:r>
              <w:rPr>
                <w:rFonts w:hint="eastAsia"/>
                <w:szCs w:val="24"/>
                <w:lang w:val="en-US"/>
              </w:rPr>
              <w:t>(万)</w:t>
            </w:r>
          </w:p>
        </w:tc>
        <w:tc>
          <w:tcPr>
            <w:tcW w:w="2051" w:type="dxa"/>
            <w:vAlign w:val="center"/>
          </w:tcPr>
          <w:p>
            <w:pPr>
              <w:jc w:val="center"/>
              <w:rPr>
                <w:szCs w:val="24"/>
                <w:lang w:val="en-US"/>
              </w:rPr>
            </w:pPr>
            <w:r>
              <w:rPr>
                <w:rFonts w:hint="eastAsia"/>
                <w:szCs w:val="24"/>
                <w:lang w:val="en-US" w:eastAsia="zh-CN"/>
              </w:rPr>
              <w:t>6957.6</w:t>
            </w:r>
          </w:p>
        </w:tc>
        <w:tc>
          <w:tcPr>
            <w:tcW w:w="188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  <w:lang w:val="en-US"/>
              </w:rPr>
            </w:pPr>
            <w:r>
              <w:rPr>
                <w:rFonts w:hint="eastAsia"/>
                <w:szCs w:val="24"/>
                <w:lang w:val="en-US" w:eastAsia="zh-CN"/>
              </w:rPr>
              <w:t>6957.6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Cs w:val="24"/>
              </w:rPr>
            </w:pPr>
            <w:r>
              <w:rPr>
                <w:rFonts w:hint="eastAsia"/>
                <w:szCs w:val="24"/>
              </w:rPr>
              <w:t>金额占比</w:t>
            </w:r>
          </w:p>
        </w:tc>
        <w:tc>
          <w:tcPr>
            <w:tcW w:w="20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  <w:lang w:val="en-US"/>
              </w:rPr>
              <w:t>100</w:t>
            </w:r>
            <w:r>
              <w:rPr>
                <w:rFonts w:hint="eastAsia"/>
                <w:szCs w:val="24"/>
              </w:rPr>
              <w:t>%</w:t>
            </w:r>
          </w:p>
        </w:tc>
        <w:tc>
          <w:tcPr>
            <w:tcW w:w="188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  <w:lang w:val="en-US"/>
              </w:rPr>
              <w:t>100</w:t>
            </w:r>
            <w:r>
              <w:rPr>
                <w:rFonts w:hint="eastAsia"/>
                <w:szCs w:val="24"/>
              </w:rPr>
              <w:t>%</w:t>
            </w:r>
          </w:p>
        </w:tc>
      </w:tr>
    </w:tbl>
    <w:p>
      <w:pPr>
        <w:pStyle w:val="7"/>
        <w:widowControl/>
        <w:shd w:val="clear" w:color="auto" w:fill="FFFFFF"/>
        <w:spacing w:beforeAutospacing="0" w:afterAutospacing="0" w:line="560" w:lineRule="exact"/>
        <w:jc w:val="both"/>
        <w:rPr>
          <w:rFonts w:ascii="Times New Roman" w:hAnsi="Times New Roman" w:eastAsia="楷体"/>
          <w:color w:val="333333"/>
          <w:spacing w:val="8"/>
          <w:sz w:val="28"/>
          <w:szCs w:val="32"/>
          <w:shd w:val="clear" w:color="auto" w:fill="FFFFFF"/>
          <w:lang w:val="en-US"/>
        </w:rPr>
      </w:pPr>
      <w:r>
        <w:rPr>
          <w:rFonts w:hint="eastAsia" w:ascii="Times New Roman" w:hAnsi="Times New Roman" w:eastAsia="楷体"/>
          <w:color w:val="333333"/>
          <w:spacing w:val="8"/>
          <w:sz w:val="28"/>
          <w:szCs w:val="32"/>
          <w:shd w:val="clear" w:color="auto" w:fill="FFFFFF"/>
          <w:lang w:val="en-US"/>
        </w:rPr>
        <w:t xml:space="preserve">   （三）按产品运作模式</w:t>
      </w:r>
      <w:r>
        <w:rPr>
          <w:rFonts w:hint="eastAsia" w:ascii="Times New Roman" w:hAnsi="Times New Roman" w:eastAsia="楷体"/>
          <w:spacing w:val="8"/>
          <w:sz w:val="28"/>
          <w:szCs w:val="32"/>
          <w:shd w:val="clear" w:color="auto" w:fill="FFFFFF"/>
          <w:lang w:val="en-US"/>
        </w:rPr>
        <w:t>划分</w:t>
      </w:r>
    </w:p>
    <w:tbl>
      <w:tblPr>
        <w:tblStyle w:val="8"/>
        <w:tblW w:w="92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4"/>
        <w:gridCol w:w="1701"/>
        <w:gridCol w:w="1959"/>
        <w:gridCol w:w="2317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3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95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4"/>
                <w:lang w:val="en-US"/>
              </w:rPr>
            </w:pPr>
            <w:r>
              <w:rPr>
                <w:rFonts w:hint="eastAsia"/>
                <w:b/>
                <w:bCs/>
                <w:szCs w:val="24"/>
                <w:lang w:val="en-US"/>
              </w:rPr>
              <w:t>开放式净值型</w:t>
            </w:r>
          </w:p>
        </w:tc>
        <w:tc>
          <w:tcPr>
            <w:tcW w:w="231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4"/>
                <w:lang w:val="en-US"/>
              </w:rPr>
            </w:pPr>
            <w:r>
              <w:rPr>
                <w:rFonts w:hint="eastAsia"/>
                <w:b/>
                <w:bCs/>
                <w:szCs w:val="24"/>
                <w:lang w:val="en-US"/>
              </w:rPr>
              <w:t>封闭式净值型</w:t>
            </w:r>
          </w:p>
        </w:tc>
        <w:tc>
          <w:tcPr>
            <w:tcW w:w="159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4"/>
                <w:lang w:val="en-US"/>
              </w:rPr>
            </w:pPr>
            <w:r>
              <w:rPr>
                <w:rFonts w:hint="eastAsia"/>
                <w:b/>
                <w:bCs/>
                <w:szCs w:val="24"/>
                <w:lang w:val="en-US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"/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2024年一季度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期数</w:t>
            </w: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rFonts w:hint="eastAsia" w:eastAsia="仿宋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0</w:t>
            </w:r>
          </w:p>
        </w:tc>
        <w:tc>
          <w:tcPr>
            <w:tcW w:w="2317" w:type="dxa"/>
            <w:vAlign w:val="top"/>
          </w:tcPr>
          <w:p>
            <w:pPr>
              <w:jc w:val="center"/>
              <w:rPr>
                <w:rFonts w:hint="eastAsia" w:eastAsia="仿宋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2</w:t>
            </w:r>
          </w:p>
        </w:tc>
        <w:tc>
          <w:tcPr>
            <w:tcW w:w="15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  <w:lang w:val="en-US"/>
              </w:rPr>
            </w:pPr>
            <w:r>
              <w:rPr>
                <w:rFonts w:hint="eastAsia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募集金额(万)</w:t>
            </w: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rFonts w:hint="eastAsia" w:eastAsia="仿宋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6183.6</w:t>
            </w:r>
          </w:p>
        </w:tc>
        <w:tc>
          <w:tcPr>
            <w:tcW w:w="2317" w:type="dxa"/>
            <w:vAlign w:val="top"/>
          </w:tcPr>
          <w:p>
            <w:pPr>
              <w:jc w:val="center"/>
              <w:rPr>
                <w:rFonts w:hint="default" w:eastAsia="仿宋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774</w:t>
            </w:r>
          </w:p>
        </w:tc>
        <w:tc>
          <w:tcPr>
            <w:tcW w:w="15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  <w:lang w:val="en-US"/>
              </w:rPr>
            </w:pPr>
            <w:r>
              <w:rPr>
                <w:rFonts w:hint="eastAsia"/>
                <w:szCs w:val="24"/>
                <w:lang w:val="en-US" w:eastAsia="zh-CN"/>
              </w:rPr>
              <w:t>6957.6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金额占比</w:t>
            </w:r>
          </w:p>
        </w:tc>
        <w:tc>
          <w:tcPr>
            <w:tcW w:w="19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szCs w:val="24"/>
                <w:lang w:val="en-US"/>
              </w:rPr>
            </w:pPr>
            <w:r>
              <w:rPr>
                <w:rFonts w:hint="eastAsia"/>
                <w:szCs w:val="24"/>
                <w:lang w:val="en-US" w:eastAsia="zh-CN"/>
              </w:rPr>
              <w:t>88.88</w:t>
            </w:r>
            <w:r>
              <w:rPr>
                <w:rFonts w:hint="eastAsia"/>
                <w:szCs w:val="24"/>
                <w:lang w:val="en-US"/>
              </w:rPr>
              <w:t>%</w:t>
            </w:r>
          </w:p>
        </w:tc>
        <w:tc>
          <w:tcPr>
            <w:tcW w:w="2317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  <w:lang w:val="en-US" w:eastAsia="zh-CN"/>
              </w:rPr>
              <w:t>11.12</w:t>
            </w:r>
            <w:r>
              <w:rPr>
                <w:rFonts w:hint="eastAsia"/>
                <w:szCs w:val="24"/>
                <w:lang w:val="en-US"/>
              </w:rPr>
              <w:t>%</w:t>
            </w:r>
          </w:p>
        </w:tc>
        <w:tc>
          <w:tcPr>
            <w:tcW w:w="159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  <w:lang w:val="en-US"/>
              </w:rPr>
              <w:t>100</w:t>
            </w:r>
            <w:r>
              <w:rPr>
                <w:rFonts w:hint="eastAsia"/>
                <w:szCs w:val="24"/>
              </w:rPr>
              <w:t>%</w:t>
            </w:r>
          </w:p>
        </w:tc>
      </w:tr>
    </w:tbl>
    <w:p>
      <w:pPr>
        <w:pStyle w:val="7"/>
        <w:widowControl/>
        <w:shd w:val="clear" w:color="auto" w:fill="FFFFFF"/>
        <w:spacing w:beforeAutospacing="0" w:afterAutospacing="0" w:line="560" w:lineRule="exact"/>
        <w:jc w:val="both"/>
        <w:rPr>
          <w:rFonts w:ascii="Times New Roman" w:hAnsi="Times New Roman" w:eastAsia="楷体"/>
          <w:color w:val="333333"/>
          <w:spacing w:val="8"/>
          <w:sz w:val="28"/>
          <w:szCs w:val="32"/>
          <w:shd w:val="clear" w:color="auto" w:fill="FFFFFF"/>
          <w:lang w:val="en-US"/>
        </w:rPr>
      </w:pPr>
      <w:r>
        <w:rPr>
          <w:rFonts w:hint="eastAsia" w:ascii="Times New Roman" w:hAnsi="Times New Roman" w:eastAsia="楷体"/>
          <w:color w:val="333333"/>
          <w:spacing w:val="8"/>
          <w:sz w:val="28"/>
          <w:szCs w:val="32"/>
          <w:shd w:val="clear" w:color="auto" w:fill="FFFFFF"/>
          <w:lang w:val="en-US"/>
        </w:rPr>
        <w:t xml:space="preserve">  （四）按产品风险等级</w:t>
      </w:r>
      <w:r>
        <w:rPr>
          <w:rFonts w:hint="eastAsia" w:ascii="Times New Roman" w:hAnsi="Times New Roman" w:eastAsia="楷体"/>
          <w:spacing w:val="8"/>
          <w:sz w:val="28"/>
          <w:szCs w:val="32"/>
          <w:shd w:val="clear" w:color="auto" w:fill="FFFFFF"/>
          <w:lang w:val="en-US"/>
        </w:rPr>
        <w:t>划分</w:t>
      </w:r>
    </w:p>
    <w:p>
      <w:pPr>
        <w:widowControl/>
        <w:spacing w:line="560" w:lineRule="exact"/>
        <w:ind w:firstLine="560" w:firstLineChars="200"/>
        <w:rPr>
          <w:rFonts w:ascii="Times New Roman" w:hAnsi="Times New Roman" w:cs="Times New Roman"/>
          <w:bCs/>
          <w:sz w:val="28"/>
          <w:szCs w:val="32"/>
          <w:lang w:val="en-US"/>
        </w:rPr>
      </w:pPr>
      <w:r>
        <w:rPr>
          <w:rFonts w:hint="eastAsia" w:ascii="Times New Roman" w:hAnsi="Times New Roman" w:cs="Times New Roman"/>
          <w:bCs/>
          <w:sz w:val="28"/>
          <w:szCs w:val="32"/>
          <w:lang w:val="en-US"/>
        </w:rPr>
        <w:t>我行理财产品以中低风险为主，满足客户风险控制、稳健发展、均衡成长、保值增值的需要。未发行中高风险理财产品。详见下表：</w:t>
      </w:r>
    </w:p>
    <w:p>
      <w:pPr>
        <w:widowControl/>
        <w:spacing w:line="560" w:lineRule="exact"/>
        <w:ind w:firstLine="560" w:firstLineChars="200"/>
        <w:rPr>
          <w:rFonts w:ascii="Times New Roman" w:hAnsi="Times New Roman" w:cs="Times New Roman"/>
          <w:bCs/>
          <w:sz w:val="28"/>
          <w:szCs w:val="32"/>
          <w:lang w:val="en-US"/>
        </w:rPr>
      </w:pPr>
    </w:p>
    <w:tbl>
      <w:tblPr>
        <w:tblStyle w:val="8"/>
        <w:tblpPr w:leftFromText="180" w:rightFromText="180" w:vertAnchor="text" w:horzAnchor="page" w:tblpX="1580" w:tblpY="49"/>
        <w:tblOverlap w:val="never"/>
        <w:tblW w:w="8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1500"/>
        <w:gridCol w:w="1275"/>
        <w:gridCol w:w="1065"/>
        <w:gridCol w:w="1305"/>
        <w:gridCol w:w="1305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4" w:type="dxa"/>
            <w:gridSpan w:val="2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4"/>
                <w:lang w:val="en-US"/>
              </w:rPr>
            </w:pPr>
            <w:r>
              <w:rPr>
                <w:rFonts w:hint="eastAsia"/>
                <w:b/>
                <w:bCs/>
                <w:szCs w:val="24"/>
                <w:lang w:val="en-US"/>
              </w:rPr>
              <w:t>R1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4"/>
                <w:lang w:val="en-US"/>
              </w:rPr>
            </w:pPr>
            <w:r>
              <w:rPr>
                <w:rFonts w:hint="eastAsia" w:eastAsia="宋体"/>
                <w:b/>
                <w:bCs/>
                <w:szCs w:val="24"/>
                <w:lang w:val="en-US"/>
              </w:rPr>
              <w:t>R2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4"/>
                <w:lang w:val="en-US"/>
              </w:rPr>
            </w:pPr>
            <w:r>
              <w:rPr>
                <w:rFonts w:hint="eastAsia"/>
                <w:b/>
                <w:bCs/>
                <w:szCs w:val="24"/>
                <w:lang w:val="en-US"/>
              </w:rPr>
              <w:t>R3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  <w:lang w:val="en-US"/>
              </w:rPr>
              <w:t>R4-R5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4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Cs w:val="24"/>
                <w:lang w:val="en-US" w:eastAsia="zh-CN"/>
              </w:rPr>
            </w:pPr>
            <w:r>
              <w:rPr>
                <w:rFonts w:hint="eastAsia" w:eastAsia="宋体"/>
                <w:szCs w:val="24"/>
                <w:lang w:eastAsia="zh-CN"/>
              </w:rPr>
              <w:t>2024年一季度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期数</w:t>
            </w:r>
          </w:p>
        </w:tc>
        <w:tc>
          <w:tcPr>
            <w:tcW w:w="1275" w:type="dxa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Cs w:val="24"/>
                <w:lang w:val="en-US"/>
              </w:rPr>
            </w:pPr>
            <w:r>
              <w:rPr>
                <w:rFonts w:hint="eastAsia"/>
                <w:szCs w:val="24"/>
                <w:lang w:val="en-US" w:eastAsia="zh-CN"/>
              </w:rPr>
              <w:t>2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Cs w:val="24"/>
                <w:lang w:val="en-US"/>
              </w:rPr>
            </w:pPr>
            <w:r>
              <w:rPr>
                <w:rFonts w:hint="eastAsia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4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募集金额(万)</w:t>
            </w:r>
          </w:p>
        </w:tc>
        <w:tc>
          <w:tcPr>
            <w:tcW w:w="1275" w:type="dxa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Cs w:val="24"/>
                <w:lang w:val="en-US"/>
              </w:rPr>
            </w:pPr>
            <w:r>
              <w:rPr>
                <w:rFonts w:hint="eastAsia"/>
                <w:szCs w:val="24"/>
                <w:lang w:val="en-US" w:eastAsia="zh-CN"/>
              </w:rPr>
              <w:t>6957.6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Cs w:val="24"/>
                <w:lang w:val="en-US"/>
              </w:rPr>
            </w:pPr>
            <w:r>
              <w:rPr>
                <w:rFonts w:hint="eastAsia"/>
                <w:szCs w:val="24"/>
                <w:lang w:val="en-US" w:eastAsia="zh-CN"/>
              </w:rPr>
              <w:t>6957.6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4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金额占比</w:t>
            </w:r>
          </w:p>
        </w:tc>
        <w:tc>
          <w:tcPr>
            <w:tcW w:w="1275" w:type="dxa"/>
          </w:tcPr>
          <w:p>
            <w:pPr>
              <w:jc w:val="center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  <w:lang w:val="en-US"/>
              </w:rPr>
              <w:t>100</w:t>
            </w:r>
            <w:r>
              <w:rPr>
                <w:rFonts w:hint="eastAsia"/>
                <w:szCs w:val="24"/>
              </w:rPr>
              <w:t>%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  <w:lang w:val="en-US"/>
              </w:rPr>
              <w:t>100</w:t>
            </w:r>
            <w:r>
              <w:rPr>
                <w:rFonts w:hint="eastAsia"/>
                <w:szCs w:val="24"/>
              </w:rPr>
              <w:t>%</w:t>
            </w:r>
          </w:p>
        </w:tc>
      </w:tr>
    </w:tbl>
    <w:p>
      <w:pPr>
        <w:widowControl/>
        <w:numPr>
          <w:ilvl w:val="0"/>
          <w:numId w:val="1"/>
        </w:numPr>
        <w:spacing w:line="560" w:lineRule="exact"/>
        <w:ind w:firstLine="560" w:firstLineChars="200"/>
        <w:rPr>
          <w:rFonts w:ascii="黑体" w:hAnsi="黑体" w:eastAsia="黑体" w:cs="黑体"/>
          <w:bCs/>
          <w:sz w:val="28"/>
          <w:szCs w:val="32"/>
        </w:rPr>
      </w:pPr>
      <w:r>
        <w:rPr>
          <w:rFonts w:hint="eastAsia" w:ascii="黑体" w:hAnsi="黑体" w:eastAsia="黑体" w:cs="黑体"/>
          <w:bCs/>
          <w:sz w:val="28"/>
          <w:szCs w:val="32"/>
        </w:rPr>
        <w:t>理财产品到期情况</w:t>
      </w:r>
    </w:p>
    <w:p>
      <w:pPr>
        <w:widowControl/>
        <w:spacing w:line="560" w:lineRule="exact"/>
        <w:ind w:firstLine="560" w:firstLineChars="200"/>
        <w:rPr>
          <w:rFonts w:ascii="Times New Roman" w:hAnsi="Times New Roman" w:cs="Times New Roman"/>
          <w:bCs/>
          <w:sz w:val="28"/>
          <w:szCs w:val="32"/>
          <w:lang w:val="en-US"/>
        </w:rPr>
      </w:pPr>
      <w:r>
        <w:rPr>
          <w:rFonts w:hint="eastAsia"/>
          <w:bCs/>
          <w:sz w:val="28"/>
          <w:szCs w:val="32"/>
          <w:lang w:eastAsia="zh-CN"/>
        </w:rPr>
        <w:t>2024年一季度</w:t>
      </w:r>
      <w:r>
        <w:rPr>
          <w:rFonts w:hint="eastAsia"/>
          <w:bCs/>
          <w:sz w:val="28"/>
          <w:szCs w:val="32"/>
        </w:rPr>
        <w:t>，我行合计兑付理财本息共计</w:t>
      </w:r>
      <w:r>
        <w:rPr>
          <w:rFonts w:hint="eastAsia"/>
          <w:bCs/>
          <w:sz w:val="28"/>
          <w:szCs w:val="32"/>
          <w:lang w:val="en-US" w:eastAsia="zh-CN"/>
        </w:rPr>
        <w:t>8544.19</w:t>
      </w:r>
      <w:r>
        <w:rPr>
          <w:rFonts w:hint="eastAsia"/>
          <w:bCs/>
          <w:sz w:val="28"/>
          <w:szCs w:val="32"/>
          <w:lang w:val="en-US"/>
        </w:rPr>
        <w:t>万元。其中，</w:t>
      </w:r>
      <w:r>
        <w:rPr>
          <w:rFonts w:hint="eastAsia"/>
          <w:bCs/>
          <w:sz w:val="28"/>
          <w:szCs w:val="32"/>
        </w:rPr>
        <w:t>兑付封闭式净值型理财产</w:t>
      </w:r>
      <w:r>
        <w:rPr>
          <w:rFonts w:hint="eastAsia" w:ascii="Times New Roman" w:hAnsi="Times New Roman" w:cs="Times New Roman"/>
          <w:bCs/>
          <w:sz w:val="28"/>
          <w:szCs w:val="32"/>
          <w:lang w:val="en-US"/>
        </w:rPr>
        <w:t>品</w:t>
      </w:r>
      <w:r>
        <w:rPr>
          <w:rFonts w:hint="eastAsia" w:ascii="Times New Roman" w:hAnsi="Times New Roman" w:cs="Times New Roman"/>
          <w:bCs/>
          <w:sz w:val="28"/>
          <w:szCs w:val="32"/>
          <w:lang w:val="en-US" w:eastAsia="zh-CN"/>
        </w:rPr>
        <w:t>7</w:t>
      </w:r>
      <w:r>
        <w:rPr>
          <w:rFonts w:hint="eastAsia" w:ascii="Times New Roman" w:hAnsi="Times New Roman" w:cs="Times New Roman"/>
          <w:bCs/>
          <w:sz w:val="28"/>
          <w:szCs w:val="32"/>
          <w:lang w:val="en-US"/>
        </w:rPr>
        <w:t>期</w:t>
      </w:r>
      <w:r>
        <w:rPr>
          <w:rFonts w:hint="eastAsia"/>
          <w:bCs/>
          <w:sz w:val="28"/>
          <w:szCs w:val="32"/>
          <w:lang w:val="en-US"/>
        </w:rPr>
        <w:t>，</w:t>
      </w:r>
      <w:r>
        <w:rPr>
          <w:rFonts w:hint="eastAsia"/>
          <w:bCs/>
          <w:sz w:val="28"/>
          <w:szCs w:val="32"/>
        </w:rPr>
        <w:t>兑付理财本息合计</w:t>
      </w:r>
      <w:r>
        <w:rPr>
          <w:rFonts w:hint="eastAsia"/>
          <w:bCs/>
          <w:sz w:val="28"/>
          <w:szCs w:val="32"/>
          <w:lang w:val="en-US" w:eastAsia="zh-CN"/>
        </w:rPr>
        <w:t>3344.06</w:t>
      </w:r>
      <w:r>
        <w:rPr>
          <w:rFonts w:ascii="Times New Roman" w:hAnsi="Times New Roman" w:cs="Times New Roman"/>
          <w:bCs/>
          <w:sz w:val="28"/>
          <w:szCs w:val="32"/>
          <w:lang w:val="en-US"/>
        </w:rPr>
        <w:t>万</w:t>
      </w:r>
      <w:r>
        <w:rPr>
          <w:rFonts w:ascii="Times New Roman" w:hAnsi="Times New Roman" w:cs="Times New Roman"/>
          <w:bCs/>
          <w:sz w:val="28"/>
          <w:szCs w:val="32"/>
        </w:rPr>
        <w:t>元</w:t>
      </w:r>
      <w:r>
        <w:rPr>
          <w:rFonts w:hint="eastAsia"/>
          <w:bCs/>
          <w:sz w:val="28"/>
          <w:szCs w:val="32"/>
          <w:lang w:val="en-US"/>
        </w:rPr>
        <w:t>；兑付客户赎回的开放式理财本息合计</w:t>
      </w:r>
      <w:r>
        <w:rPr>
          <w:rFonts w:hint="eastAsia"/>
          <w:bCs/>
          <w:sz w:val="28"/>
          <w:szCs w:val="32"/>
          <w:lang w:val="en-US" w:eastAsia="zh-CN"/>
        </w:rPr>
        <w:t>5200.13</w:t>
      </w:r>
      <w:r>
        <w:rPr>
          <w:rFonts w:hint="eastAsia"/>
          <w:bCs/>
          <w:sz w:val="28"/>
          <w:szCs w:val="32"/>
          <w:lang w:val="en-US"/>
        </w:rPr>
        <w:t>万元。兑付的理财产品均达公告业绩基准，并按照产品说明书的约定按时兑付，兑付情况如下</w:t>
      </w:r>
      <w:r>
        <w:rPr>
          <w:rFonts w:hint="eastAsia" w:ascii="Times New Roman" w:hAnsi="Times New Roman" w:cs="Times New Roman"/>
          <w:bCs/>
          <w:sz w:val="28"/>
          <w:szCs w:val="32"/>
          <w:lang w:val="en-US"/>
        </w:rPr>
        <w:t>：</w:t>
      </w:r>
      <w:r>
        <w:rPr>
          <w:rFonts w:ascii="Times New Roman" w:hAnsi="Times New Roman" w:cs="Times New Roman"/>
          <w:bCs/>
          <w:sz w:val="28"/>
          <w:szCs w:val="32"/>
          <w:lang w:val="en-US"/>
        </w:rPr>
        <w:t xml:space="preserve"> </w:t>
      </w:r>
    </w:p>
    <w:tbl>
      <w:tblPr>
        <w:tblStyle w:val="8"/>
        <w:tblW w:w="9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9"/>
        <w:gridCol w:w="1853"/>
        <w:gridCol w:w="1962"/>
        <w:gridCol w:w="2244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5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96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b/>
                <w:bCs/>
                <w:szCs w:val="24"/>
                <w:lang w:val="en-US"/>
              </w:rPr>
              <w:t>封闭式净值型</w:t>
            </w:r>
          </w:p>
        </w:tc>
        <w:tc>
          <w:tcPr>
            <w:tcW w:w="224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4"/>
                <w:lang w:val="en-US"/>
              </w:rPr>
            </w:pPr>
            <w:r>
              <w:rPr>
                <w:rFonts w:hint="eastAsia"/>
                <w:b/>
                <w:bCs/>
                <w:szCs w:val="24"/>
                <w:lang w:val="en-US"/>
              </w:rPr>
              <w:t>开放式净值型</w:t>
            </w:r>
          </w:p>
        </w:tc>
        <w:tc>
          <w:tcPr>
            <w:tcW w:w="198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Cs w:val="24"/>
                <w:lang w:val="en-US"/>
              </w:rPr>
            </w:pPr>
            <w:r>
              <w:rPr>
                <w:rFonts w:hint="eastAsia"/>
                <w:b/>
                <w:bCs/>
                <w:szCs w:val="24"/>
                <w:lang w:val="en-US"/>
              </w:rPr>
              <w:t xml:space="preserve">   兑付合计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Cs w:val="24"/>
                <w:lang w:val="en-US" w:eastAsia="zh-CN"/>
              </w:rPr>
            </w:pPr>
            <w:r>
              <w:rPr>
                <w:rFonts w:hint="eastAsia" w:eastAsia="宋体"/>
                <w:szCs w:val="24"/>
                <w:lang w:eastAsia="zh-CN"/>
              </w:rPr>
              <w:t>2024年一季度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期数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rPr>
                <w:rFonts w:hint="eastAsia" w:eastAsia="仿宋"/>
                <w:szCs w:val="24"/>
                <w:lang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7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ascii="Arial" w:hAnsi="Arial" w:cs="Arial"/>
                <w:szCs w:val="24"/>
              </w:rPr>
              <w:t>－</w:t>
            </w:r>
          </w:p>
        </w:tc>
        <w:tc>
          <w:tcPr>
            <w:tcW w:w="19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99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兑付金额(万)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rPr>
                <w:rFonts w:hint="default" w:eastAsia="仿宋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3344.06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hint="default" w:eastAsia="仿宋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5200.13</w:t>
            </w:r>
          </w:p>
        </w:tc>
        <w:tc>
          <w:tcPr>
            <w:tcW w:w="19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8544.19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85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金额占比</w:t>
            </w:r>
          </w:p>
        </w:tc>
        <w:tc>
          <w:tcPr>
            <w:tcW w:w="196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  <w:lang w:val="en-US" w:eastAsia="zh-CN"/>
              </w:rPr>
              <w:t>39.14</w:t>
            </w:r>
            <w:r>
              <w:rPr>
                <w:rFonts w:hint="eastAsia"/>
                <w:szCs w:val="24"/>
                <w:lang w:val="en-US"/>
              </w:rPr>
              <w:t>%</w:t>
            </w:r>
          </w:p>
        </w:tc>
        <w:tc>
          <w:tcPr>
            <w:tcW w:w="224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  <w:lang w:val="en-US" w:eastAsia="zh-CN"/>
              </w:rPr>
              <w:t>60.86</w:t>
            </w:r>
            <w:r>
              <w:rPr>
                <w:szCs w:val="24"/>
              </w:rPr>
              <w:t>%</w:t>
            </w:r>
          </w:p>
        </w:tc>
        <w:tc>
          <w:tcPr>
            <w:tcW w:w="198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  <w:lang w:val="en-US"/>
              </w:rPr>
              <w:t>100</w:t>
            </w:r>
            <w:r>
              <w:rPr>
                <w:szCs w:val="24"/>
              </w:rPr>
              <w:t>%</w:t>
            </w:r>
          </w:p>
        </w:tc>
      </w:tr>
    </w:tbl>
    <w:p>
      <w:pPr>
        <w:widowControl/>
        <w:numPr>
          <w:ilvl w:val="0"/>
          <w:numId w:val="1"/>
        </w:numPr>
        <w:spacing w:line="560" w:lineRule="exact"/>
        <w:ind w:firstLine="560" w:firstLineChars="200"/>
        <w:rPr>
          <w:rFonts w:ascii="黑体" w:hAnsi="黑体" w:eastAsia="黑体" w:cs="黑体"/>
          <w:bCs/>
          <w:sz w:val="28"/>
          <w:szCs w:val="32"/>
        </w:rPr>
      </w:pPr>
      <w:r>
        <w:rPr>
          <w:rFonts w:hint="eastAsia" w:ascii="黑体" w:hAnsi="黑体" w:eastAsia="黑体" w:cs="黑体"/>
          <w:bCs/>
          <w:sz w:val="28"/>
          <w:szCs w:val="32"/>
        </w:rPr>
        <w:t>理财产品存续情况</w:t>
      </w:r>
    </w:p>
    <w:p>
      <w:pPr>
        <w:widowControl/>
        <w:spacing w:line="560" w:lineRule="exact"/>
        <w:ind w:firstLine="560" w:firstLineChars="200"/>
        <w:rPr>
          <w:rFonts w:ascii="Times New Roman" w:hAnsi="Times New Roman" w:cs="Times New Roman"/>
          <w:bCs/>
          <w:sz w:val="28"/>
          <w:szCs w:val="32"/>
          <w:lang w:val="en-US"/>
        </w:rPr>
      </w:pPr>
      <w:r>
        <w:rPr>
          <w:rFonts w:hint="eastAsia"/>
          <w:bCs/>
          <w:sz w:val="28"/>
          <w:szCs w:val="32"/>
        </w:rPr>
        <w:t>截至</w:t>
      </w:r>
      <w:r>
        <w:rPr>
          <w:rFonts w:hint="eastAsia" w:ascii="Times New Roman" w:hAnsi="Times New Roman" w:cs="Times New Roman"/>
          <w:bCs/>
          <w:sz w:val="28"/>
          <w:szCs w:val="32"/>
          <w:lang w:val="en-US" w:eastAsia="zh-CN"/>
        </w:rPr>
        <w:t>2024年3月31日</w:t>
      </w:r>
      <w:r>
        <w:rPr>
          <w:rFonts w:ascii="Times New Roman" w:hAnsi="Times New Roman" w:cs="Times New Roman"/>
          <w:bCs/>
          <w:sz w:val="28"/>
          <w:szCs w:val="32"/>
        </w:rPr>
        <w:t>，我行</w:t>
      </w:r>
      <w:r>
        <w:rPr>
          <w:rFonts w:hint="eastAsia" w:ascii="Times New Roman" w:hAnsi="Times New Roman" w:cs="Times New Roman"/>
          <w:bCs/>
          <w:sz w:val="28"/>
          <w:szCs w:val="32"/>
        </w:rPr>
        <w:t>存续理财产品</w:t>
      </w:r>
      <w:r>
        <w:rPr>
          <w:rFonts w:hint="eastAsia" w:ascii="Times New Roman" w:hAnsi="Times New Roman" w:cs="Times New Roman"/>
          <w:bCs/>
          <w:sz w:val="28"/>
          <w:szCs w:val="32"/>
          <w:lang w:val="en-US" w:eastAsia="zh-CN"/>
        </w:rPr>
        <w:t>29</w:t>
      </w:r>
      <w:r>
        <w:rPr>
          <w:rFonts w:hint="eastAsia" w:ascii="Times New Roman" w:hAnsi="Times New Roman" w:cs="Times New Roman"/>
          <w:bCs/>
          <w:sz w:val="28"/>
          <w:szCs w:val="32"/>
          <w:lang w:val="en-US"/>
        </w:rPr>
        <w:t>期，存续</w:t>
      </w:r>
      <w:r>
        <w:rPr>
          <w:rFonts w:ascii="Times New Roman" w:hAnsi="Times New Roman" w:cs="Times New Roman"/>
          <w:bCs/>
          <w:sz w:val="28"/>
          <w:szCs w:val="32"/>
        </w:rPr>
        <w:t>理财余额为</w:t>
      </w:r>
      <w:r>
        <w:rPr>
          <w:rFonts w:hint="eastAsia" w:ascii="Times New Roman" w:hAnsi="Times New Roman" w:cs="Times New Roman"/>
          <w:bCs/>
          <w:sz w:val="28"/>
          <w:szCs w:val="32"/>
          <w:lang w:val="en-US" w:eastAsia="zh-CN"/>
        </w:rPr>
        <w:t>26777.68</w:t>
      </w:r>
      <w:r>
        <w:rPr>
          <w:rFonts w:hint="eastAsia" w:ascii="Times New Roman" w:hAnsi="Times New Roman" w:cs="Times New Roman"/>
          <w:bCs/>
          <w:sz w:val="28"/>
          <w:szCs w:val="32"/>
          <w:lang w:val="en-US"/>
        </w:rPr>
        <w:t>万元。</w:t>
      </w:r>
    </w:p>
    <w:p>
      <w:pPr>
        <w:pStyle w:val="7"/>
        <w:widowControl/>
        <w:shd w:val="clear" w:color="auto" w:fill="FFFFFF"/>
        <w:spacing w:beforeAutospacing="0" w:afterAutospacing="0" w:line="560" w:lineRule="exact"/>
        <w:jc w:val="both"/>
        <w:rPr>
          <w:rFonts w:ascii="Times New Roman" w:hAnsi="Times New Roman" w:eastAsia="楷体"/>
          <w:color w:val="333333"/>
          <w:spacing w:val="8"/>
          <w:sz w:val="28"/>
          <w:szCs w:val="32"/>
          <w:shd w:val="clear" w:color="auto" w:fill="FFFFFF"/>
          <w:lang w:val="en-US"/>
        </w:rPr>
      </w:pPr>
      <w:r>
        <w:rPr>
          <w:rFonts w:hint="eastAsia" w:ascii="Times New Roman" w:hAnsi="Times New Roman" w:eastAsia="楷体"/>
          <w:color w:val="333333"/>
          <w:spacing w:val="8"/>
          <w:sz w:val="28"/>
          <w:szCs w:val="32"/>
          <w:shd w:val="clear" w:color="auto" w:fill="FFFFFF"/>
          <w:lang w:val="en-US"/>
        </w:rPr>
        <w:t xml:space="preserve">    (一)按产品运作模式</w:t>
      </w:r>
      <w:r>
        <w:rPr>
          <w:rFonts w:hint="eastAsia" w:ascii="Times New Roman" w:hAnsi="Times New Roman" w:eastAsia="楷体"/>
          <w:spacing w:val="8"/>
          <w:sz w:val="28"/>
          <w:szCs w:val="32"/>
          <w:shd w:val="clear" w:color="auto" w:fill="FFFFFF"/>
          <w:lang w:val="en-US"/>
        </w:rPr>
        <w:t>划分</w:t>
      </w:r>
    </w:p>
    <w:tbl>
      <w:tblPr>
        <w:tblStyle w:val="8"/>
        <w:tblW w:w="9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5"/>
        <w:gridCol w:w="1457"/>
        <w:gridCol w:w="2301"/>
        <w:gridCol w:w="2514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4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230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4"/>
                <w:lang w:val="en-US"/>
              </w:rPr>
            </w:pPr>
            <w:r>
              <w:rPr>
                <w:rFonts w:hint="eastAsia"/>
                <w:b/>
                <w:bCs/>
                <w:szCs w:val="24"/>
                <w:lang w:val="en-US"/>
              </w:rPr>
              <w:t>封闭式净值型</w:t>
            </w:r>
          </w:p>
        </w:tc>
        <w:tc>
          <w:tcPr>
            <w:tcW w:w="251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4"/>
                <w:lang w:val="en-US"/>
              </w:rPr>
            </w:pPr>
            <w:r>
              <w:rPr>
                <w:rFonts w:hint="eastAsia"/>
                <w:b/>
                <w:bCs/>
                <w:szCs w:val="24"/>
                <w:lang w:val="en-US"/>
              </w:rPr>
              <w:t>开放式净值型</w:t>
            </w:r>
          </w:p>
        </w:tc>
        <w:tc>
          <w:tcPr>
            <w:tcW w:w="196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4"/>
                <w:lang w:val="en-US"/>
              </w:rPr>
            </w:pPr>
            <w:r>
              <w:rPr>
                <w:rFonts w:hint="eastAsia"/>
                <w:b/>
                <w:bCs/>
                <w:szCs w:val="24"/>
                <w:lang w:val="en-US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Cs w:val="24"/>
                <w:lang w:val="en-US" w:eastAsia="zh-CN"/>
              </w:rPr>
            </w:pPr>
            <w:r>
              <w:rPr>
                <w:rFonts w:hint="eastAsia" w:eastAsia="宋体"/>
                <w:szCs w:val="24"/>
                <w:lang w:eastAsia="zh-CN"/>
              </w:rPr>
              <w:t>2024年一季度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期数</w:t>
            </w:r>
          </w:p>
        </w:tc>
        <w:tc>
          <w:tcPr>
            <w:tcW w:w="2301" w:type="dxa"/>
            <w:vAlign w:val="center"/>
          </w:tcPr>
          <w:p>
            <w:pPr>
              <w:jc w:val="center"/>
              <w:rPr>
                <w:rFonts w:hint="default" w:eastAsia="仿宋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25</w:t>
            </w:r>
          </w:p>
        </w:tc>
        <w:tc>
          <w:tcPr>
            <w:tcW w:w="2514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4</w:t>
            </w:r>
          </w:p>
        </w:tc>
        <w:tc>
          <w:tcPr>
            <w:tcW w:w="196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存续金额(万)</w:t>
            </w:r>
          </w:p>
        </w:tc>
        <w:tc>
          <w:tcPr>
            <w:tcW w:w="2301" w:type="dxa"/>
            <w:vAlign w:val="center"/>
          </w:tcPr>
          <w:p>
            <w:pPr>
              <w:jc w:val="center"/>
              <w:rPr>
                <w:rFonts w:hint="default" w:eastAsia="仿宋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15364.2</w:t>
            </w:r>
          </w:p>
        </w:tc>
        <w:tc>
          <w:tcPr>
            <w:tcW w:w="2514" w:type="dxa"/>
            <w:vAlign w:val="center"/>
          </w:tcPr>
          <w:p>
            <w:pPr>
              <w:jc w:val="center"/>
              <w:rPr>
                <w:rFonts w:hint="default" w:eastAsia="仿宋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11413.48</w:t>
            </w:r>
          </w:p>
        </w:tc>
        <w:tc>
          <w:tcPr>
            <w:tcW w:w="196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26777.68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5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金额占比</w:t>
            </w:r>
          </w:p>
        </w:tc>
        <w:tc>
          <w:tcPr>
            <w:tcW w:w="23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  <w:lang w:val="en-US" w:eastAsia="zh-CN"/>
              </w:rPr>
              <w:t>57.38</w:t>
            </w:r>
            <w:r>
              <w:rPr>
                <w:szCs w:val="24"/>
              </w:rPr>
              <w:t>%</w:t>
            </w:r>
          </w:p>
        </w:tc>
        <w:tc>
          <w:tcPr>
            <w:tcW w:w="251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  <w:lang w:val="en-US" w:eastAsia="zh-CN"/>
              </w:rPr>
              <w:t>42.62</w:t>
            </w:r>
            <w:r>
              <w:rPr>
                <w:rFonts w:hint="eastAsia"/>
                <w:szCs w:val="24"/>
                <w:lang w:val="en-US"/>
              </w:rPr>
              <w:t>%</w:t>
            </w:r>
          </w:p>
        </w:tc>
        <w:tc>
          <w:tcPr>
            <w:tcW w:w="196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100</w:t>
            </w:r>
            <w:r>
              <w:rPr>
                <w:szCs w:val="24"/>
              </w:rPr>
              <w:t>%</w:t>
            </w:r>
          </w:p>
        </w:tc>
      </w:tr>
    </w:tbl>
    <w:p>
      <w:pPr>
        <w:widowControl/>
        <w:spacing w:line="560" w:lineRule="exact"/>
        <w:ind w:firstLine="592" w:firstLineChars="200"/>
        <w:rPr>
          <w:rFonts w:ascii="Times New Roman" w:hAnsi="Times New Roman" w:eastAsia="楷体"/>
          <w:color w:val="333333"/>
          <w:spacing w:val="8"/>
          <w:sz w:val="28"/>
          <w:szCs w:val="32"/>
          <w:shd w:val="clear" w:color="auto" w:fill="FFFFFF"/>
          <w:lang w:val="en-US"/>
        </w:rPr>
      </w:pPr>
      <w:r>
        <w:rPr>
          <w:rFonts w:hint="eastAsia" w:ascii="Times New Roman" w:hAnsi="Times New Roman" w:eastAsia="楷体"/>
          <w:color w:val="333333"/>
          <w:spacing w:val="8"/>
          <w:sz w:val="28"/>
          <w:szCs w:val="32"/>
          <w:shd w:val="clear" w:color="auto" w:fill="FFFFFF"/>
          <w:lang w:val="en-US"/>
        </w:rPr>
        <w:t>(二)按风险等级</w:t>
      </w:r>
      <w:r>
        <w:rPr>
          <w:rFonts w:hint="eastAsia" w:ascii="Times New Roman" w:hAnsi="Times New Roman" w:eastAsia="楷体"/>
          <w:spacing w:val="8"/>
          <w:sz w:val="28"/>
          <w:szCs w:val="32"/>
          <w:shd w:val="clear" w:color="auto" w:fill="FFFFFF"/>
          <w:lang w:val="en-US"/>
        </w:rPr>
        <w:t>划分</w:t>
      </w:r>
      <w:r>
        <w:rPr>
          <w:rFonts w:hint="eastAsia" w:ascii="Times New Roman" w:hAnsi="Times New Roman" w:eastAsia="楷体"/>
          <w:color w:val="333333"/>
          <w:spacing w:val="8"/>
          <w:sz w:val="28"/>
          <w:szCs w:val="32"/>
          <w:shd w:val="clear" w:color="auto" w:fill="FFFFFF"/>
          <w:lang w:val="en-US"/>
        </w:rPr>
        <w:t>，中低风险评级理财产品占主导，主要投资于债券资产、买入返售资产及货币市场基金，总体风险可控。</w:t>
      </w:r>
    </w:p>
    <w:tbl>
      <w:tblPr>
        <w:tblStyle w:val="8"/>
        <w:tblpPr w:leftFromText="180" w:rightFromText="180" w:vertAnchor="text" w:horzAnchor="page" w:tblpX="1580" w:tblpY="49"/>
        <w:tblOverlap w:val="never"/>
        <w:tblW w:w="8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1500"/>
        <w:gridCol w:w="1275"/>
        <w:gridCol w:w="1065"/>
        <w:gridCol w:w="1305"/>
        <w:gridCol w:w="1305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4" w:type="dxa"/>
            <w:gridSpan w:val="2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4"/>
                <w:lang w:val="en-US"/>
              </w:rPr>
            </w:pPr>
            <w:r>
              <w:rPr>
                <w:rFonts w:hint="eastAsia"/>
                <w:b/>
                <w:bCs/>
                <w:szCs w:val="24"/>
                <w:lang w:val="en-US"/>
              </w:rPr>
              <w:t>R1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4"/>
                <w:lang w:val="en-US"/>
              </w:rPr>
            </w:pPr>
            <w:r>
              <w:rPr>
                <w:rFonts w:hint="eastAsia" w:eastAsia="宋体"/>
                <w:b/>
                <w:bCs/>
                <w:szCs w:val="24"/>
                <w:lang w:val="en-US"/>
              </w:rPr>
              <w:t>R2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4"/>
                <w:lang w:val="en-US"/>
              </w:rPr>
            </w:pPr>
            <w:r>
              <w:rPr>
                <w:rFonts w:hint="eastAsia"/>
                <w:b/>
                <w:bCs/>
                <w:szCs w:val="24"/>
                <w:lang w:val="en-US"/>
              </w:rPr>
              <w:t>R3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  <w:lang w:val="en-US"/>
              </w:rPr>
              <w:t>R4-R5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4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Cs w:val="24"/>
                <w:lang w:val="en-US" w:eastAsia="zh-CN"/>
              </w:rPr>
            </w:pPr>
            <w:r>
              <w:rPr>
                <w:rFonts w:hint="eastAsia" w:eastAsia="宋体"/>
                <w:szCs w:val="24"/>
                <w:lang w:eastAsia="zh-CN"/>
              </w:rPr>
              <w:t>2024年一季度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期数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val="en-US" w:eastAsia="zh-CN"/>
              </w:rPr>
              <w:t>29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924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存续金额(万)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val="en-US" w:eastAsia="zh-CN"/>
              </w:rPr>
              <w:t>26777.68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val="en-US" w:eastAsia="zh-CN"/>
              </w:rPr>
              <w:t>26777.68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4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金额占比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100</w:t>
            </w:r>
            <w:r>
              <w:rPr>
                <w:szCs w:val="24"/>
              </w:rPr>
              <w:t>%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100</w:t>
            </w:r>
            <w:r>
              <w:rPr>
                <w:szCs w:val="24"/>
              </w:rPr>
              <w:t>%</w:t>
            </w:r>
          </w:p>
        </w:tc>
      </w:tr>
    </w:tbl>
    <w:p>
      <w:pPr>
        <w:widowControl/>
        <w:numPr>
          <w:ilvl w:val="0"/>
          <w:numId w:val="3"/>
        </w:numPr>
        <w:spacing w:line="560" w:lineRule="exact"/>
        <w:rPr>
          <w:rFonts w:ascii="黑体" w:hAnsi="黑体" w:eastAsia="黑体" w:cs="黑体"/>
          <w:bCs/>
          <w:sz w:val="28"/>
          <w:szCs w:val="32"/>
        </w:rPr>
      </w:pPr>
      <w:r>
        <w:rPr>
          <w:rFonts w:hint="eastAsia" w:ascii="黑体" w:hAnsi="黑体" w:eastAsia="黑体" w:cs="黑体"/>
          <w:bCs/>
          <w:sz w:val="28"/>
          <w:szCs w:val="32"/>
        </w:rPr>
        <w:t>理财产品投资资产情况</w:t>
      </w:r>
    </w:p>
    <w:p>
      <w:pPr>
        <w:spacing w:line="560" w:lineRule="exact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    截止</w:t>
      </w:r>
      <w:r>
        <w:rPr>
          <w:rFonts w:hint="eastAsia" w:ascii="Times New Roman" w:hAnsi="Times New Roman" w:cs="Times New Roman"/>
          <w:bCs/>
          <w:sz w:val="28"/>
          <w:szCs w:val="32"/>
          <w:lang w:val="en-US" w:eastAsia="zh-CN"/>
        </w:rPr>
        <w:t>2024年3月31日</w:t>
      </w:r>
      <w:r>
        <w:rPr>
          <w:rFonts w:hint="eastAsia" w:ascii="Times New Roman" w:hAnsi="Times New Roman" w:cs="Times New Roman"/>
          <w:bCs/>
          <w:sz w:val="28"/>
          <w:szCs w:val="32"/>
          <w:lang w:val="en-US"/>
        </w:rPr>
        <w:t>,我行理财投资资产余额</w:t>
      </w:r>
      <w:r>
        <w:rPr>
          <w:rFonts w:hint="eastAsia" w:ascii="Times New Roman" w:hAnsi="Times New Roman" w:cs="Times New Roman"/>
          <w:bCs/>
          <w:sz w:val="28"/>
          <w:szCs w:val="32"/>
          <w:lang w:val="en-US" w:eastAsia="zh-CN"/>
        </w:rPr>
        <w:t>28809.27</w:t>
      </w:r>
      <w:r>
        <w:rPr>
          <w:rFonts w:hint="eastAsia" w:ascii="Times New Roman" w:hAnsi="Times New Roman" w:cs="Times New Roman"/>
          <w:bCs/>
          <w:sz w:val="28"/>
          <w:szCs w:val="32"/>
          <w:lang w:val="en-US"/>
        </w:rPr>
        <w:t>万元（穿透后），其中投资于债券类资产2</w:t>
      </w:r>
      <w:r>
        <w:rPr>
          <w:rFonts w:hint="eastAsia" w:ascii="Times New Roman" w:hAnsi="Times New Roman" w:cs="Times New Roman"/>
          <w:bCs/>
          <w:sz w:val="28"/>
          <w:szCs w:val="32"/>
          <w:lang w:val="en-US" w:eastAsia="zh-CN"/>
        </w:rPr>
        <w:t>0748.72</w:t>
      </w:r>
      <w:r>
        <w:rPr>
          <w:rFonts w:hint="eastAsia" w:ascii="Times New Roman" w:hAnsi="Times New Roman" w:cs="Times New Roman"/>
          <w:bCs/>
          <w:sz w:val="28"/>
          <w:szCs w:val="32"/>
          <w:lang w:val="en-US"/>
        </w:rPr>
        <w:t>万元，买入返售资产4401.42万元，公募基金</w:t>
      </w:r>
      <w:r>
        <w:rPr>
          <w:rFonts w:hint="eastAsia" w:ascii="Times New Roman" w:hAnsi="Times New Roman" w:cs="Times New Roman"/>
          <w:bCs/>
          <w:sz w:val="28"/>
          <w:szCs w:val="32"/>
          <w:lang w:val="en-US" w:eastAsia="zh-CN"/>
        </w:rPr>
        <w:t>1804.67</w:t>
      </w:r>
      <w:r>
        <w:rPr>
          <w:rFonts w:hint="eastAsia" w:ascii="Times New Roman" w:hAnsi="Times New Roman" w:cs="Times New Roman"/>
          <w:bCs/>
          <w:sz w:val="28"/>
          <w:szCs w:val="32"/>
          <w:lang w:val="en-US"/>
        </w:rPr>
        <w:t>万元，同业存单</w:t>
      </w:r>
      <w:r>
        <w:rPr>
          <w:rFonts w:hint="eastAsia" w:ascii="Times New Roman" w:hAnsi="Times New Roman" w:cs="Times New Roman"/>
          <w:bCs/>
          <w:sz w:val="28"/>
          <w:szCs w:val="32"/>
          <w:lang w:val="en-US" w:eastAsia="zh-CN"/>
        </w:rPr>
        <w:t>860.96</w:t>
      </w:r>
      <w:r>
        <w:rPr>
          <w:rFonts w:hint="eastAsia" w:ascii="Times New Roman" w:hAnsi="Times New Roman" w:cs="Times New Roman"/>
          <w:bCs/>
          <w:sz w:val="28"/>
          <w:szCs w:val="32"/>
          <w:lang w:val="en-US"/>
        </w:rPr>
        <w:t>万元，</w:t>
      </w:r>
      <w:r>
        <w:rPr>
          <w:rFonts w:hint="eastAsia" w:ascii="Times New Roman" w:hAnsi="Times New Roman" w:cs="Times New Roman"/>
          <w:bCs/>
          <w:sz w:val="28"/>
          <w:szCs w:val="32"/>
          <w:lang w:val="en-US" w:eastAsia="zh-CN"/>
        </w:rPr>
        <w:t>现金及银行存款993.5万元，</w:t>
      </w:r>
      <w:r>
        <w:rPr>
          <w:rFonts w:hint="eastAsia" w:ascii="Times New Roman" w:hAnsi="Times New Roman" w:cs="Times New Roman"/>
          <w:bCs/>
          <w:sz w:val="28"/>
          <w:szCs w:val="32"/>
          <w:lang w:val="en-US"/>
        </w:rPr>
        <w:t>未投资非标准债权资产及其他资产。具体如下表：</w:t>
      </w:r>
    </w:p>
    <w:tbl>
      <w:tblPr>
        <w:tblStyle w:val="8"/>
        <w:tblpPr w:leftFromText="180" w:rightFromText="180" w:vertAnchor="text" w:horzAnchor="margin" w:tblpXSpec="right" w:tblpY="299"/>
        <w:tblW w:w="92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9"/>
        <w:gridCol w:w="3451"/>
        <w:gridCol w:w="25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资产类型</w:t>
            </w:r>
          </w:p>
        </w:tc>
        <w:tc>
          <w:tcPr>
            <w:tcW w:w="34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金额（万元）</w:t>
            </w:r>
          </w:p>
        </w:tc>
        <w:tc>
          <w:tcPr>
            <w:tcW w:w="2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占比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2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24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债券类资产</w:t>
            </w:r>
          </w:p>
        </w:tc>
        <w:tc>
          <w:tcPr>
            <w:tcW w:w="34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40"/>
              <w:jc w:val="center"/>
              <w:rPr>
                <w:rFonts w:hint="default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20748.72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4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  <w:lang w:val="en-US" w:eastAsia="zh-CN"/>
              </w:rPr>
              <w:t>72.02%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2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24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买入返售资产</w:t>
            </w:r>
          </w:p>
        </w:tc>
        <w:tc>
          <w:tcPr>
            <w:tcW w:w="34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40"/>
              <w:jc w:val="center"/>
              <w:rPr>
                <w:rFonts w:hint="default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4401.42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4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  <w:lang w:val="en-US" w:eastAsia="zh-CN"/>
              </w:rPr>
              <w:t>15.28%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2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24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公募基金</w:t>
            </w:r>
          </w:p>
        </w:tc>
        <w:tc>
          <w:tcPr>
            <w:tcW w:w="34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40"/>
              <w:jc w:val="center"/>
              <w:rPr>
                <w:rFonts w:hint="default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1804.67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4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  <w:lang w:val="en-US" w:eastAsia="zh-CN"/>
              </w:rPr>
              <w:t>6.26%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2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24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同业存单</w:t>
            </w:r>
          </w:p>
        </w:tc>
        <w:tc>
          <w:tcPr>
            <w:tcW w:w="34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40"/>
              <w:jc w:val="center"/>
              <w:rPr>
                <w:rFonts w:hint="default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860.96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4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  <w:lang w:val="en-US" w:eastAsia="zh-CN"/>
              </w:rPr>
              <w:t>2.99%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2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240"/>
              <w:jc w:val="center"/>
              <w:rPr>
                <w:rFonts w:hint="eastAsia" w:eastAsia="仿宋"/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现金及银行存款</w:t>
            </w:r>
          </w:p>
        </w:tc>
        <w:tc>
          <w:tcPr>
            <w:tcW w:w="34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40"/>
              <w:jc w:val="center"/>
              <w:rPr>
                <w:rFonts w:hint="default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993.5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40"/>
              <w:jc w:val="center"/>
              <w:rPr>
                <w:rFonts w:hint="default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3.45%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2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24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合计</w:t>
            </w:r>
          </w:p>
        </w:tc>
        <w:tc>
          <w:tcPr>
            <w:tcW w:w="34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40"/>
              <w:jc w:val="center"/>
              <w:rPr>
                <w:rFonts w:hint="default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28809.27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4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  <w:lang w:val="en-US" w:eastAsia="zh-CN"/>
              </w:rPr>
              <w:t>100.00%</w:t>
            </w:r>
          </w:p>
        </w:tc>
      </w:tr>
    </w:tbl>
    <w:p>
      <w:pPr>
        <w:widowControl/>
        <w:spacing w:line="560" w:lineRule="exact"/>
        <w:ind w:right="640"/>
        <w:rPr>
          <w:rFonts w:ascii="Times New Roman" w:hAnsi="Times New Roman" w:cs="Times New Roman"/>
          <w:bCs/>
          <w:sz w:val="32"/>
          <w:szCs w:val="32"/>
          <w:lang w:val="en-US"/>
        </w:rPr>
      </w:pPr>
    </w:p>
    <w:p>
      <w:pPr>
        <w:widowControl/>
        <w:spacing w:line="560" w:lineRule="exact"/>
        <w:ind w:right="640"/>
        <w:rPr>
          <w:rFonts w:ascii="Times New Roman" w:hAnsi="Times New Roman" w:cs="Times New Roman"/>
          <w:bCs/>
          <w:sz w:val="32"/>
          <w:szCs w:val="32"/>
          <w:lang w:val="en-US"/>
        </w:rPr>
      </w:pPr>
    </w:p>
    <w:p>
      <w:pPr>
        <w:widowControl/>
        <w:spacing w:line="560" w:lineRule="exact"/>
        <w:ind w:right="640"/>
        <w:rPr>
          <w:rFonts w:ascii="Times New Roman" w:hAnsi="Times New Roman" w:cs="Times New Roman"/>
          <w:bCs/>
          <w:sz w:val="32"/>
          <w:szCs w:val="32"/>
          <w:lang w:val="en-US"/>
        </w:rPr>
      </w:pPr>
      <w:bookmarkStart w:id="0" w:name="_GoBack"/>
      <w:bookmarkEnd w:id="0"/>
    </w:p>
    <w:p>
      <w:pPr>
        <w:widowControl/>
        <w:spacing w:line="560" w:lineRule="exact"/>
        <w:ind w:firstLine="640" w:firstLineChars="200"/>
        <w:jc w:val="right"/>
        <w:rPr>
          <w:rFonts w:ascii="Times New Roman" w:hAnsi="Times New Roman" w:cs="Times New Roman"/>
          <w:bCs/>
          <w:sz w:val="32"/>
          <w:szCs w:val="32"/>
          <w:lang w:val="en-US"/>
        </w:rPr>
      </w:pPr>
    </w:p>
    <w:p>
      <w:pPr>
        <w:widowControl/>
        <w:spacing w:line="560" w:lineRule="exact"/>
        <w:ind w:firstLine="640" w:firstLineChars="200"/>
        <w:jc w:val="right"/>
        <w:rPr>
          <w:rFonts w:ascii="Times New Roman" w:hAnsi="Times New Roman" w:cs="Times New Roman"/>
          <w:bCs/>
          <w:sz w:val="32"/>
          <w:szCs w:val="32"/>
          <w:lang w:val="en-US"/>
        </w:rPr>
      </w:pPr>
    </w:p>
    <w:p>
      <w:pPr>
        <w:widowControl/>
        <w:spacing w:line="560" w:lineRule="exact"/>
        <w:ind w:firstLine="640" w:firstLineChars="200"/>
        <w:jc w:val="right"/>
        <w:rPr>
          <w:rFonts w:hint="eastAsia" w:ascii="Times New Roman" w:hAnsi="Times New Roman" w:cs="Times New Roman"/>
          <w:bCs/>
          <w:sz w:val="32"/>
          <w:szCs w:val="32"/>
          <w:lang w:val="en-US"/>
        </w:rPr>
      </w:pPr>
    </w:p>
    <w:p>
      <w:pPr>
        <w:widowControl/>
        <w:spacing w:line="560" w:lineRule="exact"/>
        <w:ind w:firstLine="640" w:firstLineChars="200"/>
        <w:jc w:val="right"/>
        <w:rPr>
          <w:rFonts w:ascii="Times New Roman" w:hAnsi="Times New Roman" w:cs="Times New Roman"/>
          <w:bCs/>
          <w:sz w:val="32"/>
          <w:szCs w:val="32"/>
          <w:lang w:val="en-US"/>
        </w:rPr>
      </w:pPr>
      <w:r>
        <w:rPr>
          <w:rFonts w:hint="eastAsia" w:ascii="Times New Roman" w:hAnsi="Times New Roman" w:cs="Times New Roman"/>
          <w:bCs/>
          <w:sz w:val="32"/>
          <w:szCs w:val="32"/>
          <w:lang w:val="en-US"/>
        </w:rPr>
        <w:t>浙江南浔农村商业银行股份有限公司</w:t>
      </w:r>
    </w:p>
    <w:p>
      <w:pPr>
        <w:widowControl/>
        <w:spacing w:line="560" w:lineRule="exact"/>
        <w:ind w:right="1280" w:firstLine="640" w:firstLineChars="200"/>
        <w:jc w:val="center"/>
        <w:rPr>
          <w:bCs/>
          <w:sz w:val="32"/>
          <w:szCs w:val="32"/>
          <w:lang w:val="en-US"/>
        </w:rPr>
      </w:pPr>
      <w:r>
        <w:rPr>
          <w:rFonts w:hint="eastAsia" w:ascii="Times New Roman" w:hAnsi="Times New Roman" w:cs="Times New Roman"/>
          <w:bCs/>
          <w:sz w:val="32"/>
          <w:szCs w:val="32"/>
          <w:lang w:val="en-US"/>
        </w:rPr>
        <w:t xml:space="preserve">                          </w:t>
      </w:r>
      <w:r>
        <w:rPr>
          <w:rFonts w:hint="eastAsia" w:ascii="Times New Roman" w:hAnsi="Times New Roman" w:cs="Times New Roman"/>
          <w:bCs/>
          <w:sz w:val="28"/>
          <w:szCs w:val="32"/>
          <w:lang w:val="en-US" w:eastAsia="zh-CN"/>
        </w:rPr>
        <w:t>2024年3月31日</w:t>
      </w:r>
      <w:r>
        <w:rPr>
          <w:rFonts w:hint="eastAsia" w:ascii="Times New Roman" w:hAnsi="Times New Roman" w:cs="Times New Roman"/>
          <w:bCs/>
          <w:sz w:val="28"/>
          <w:szCs w:val="32"/>
          <w:lang w:val="en-US"/>
        </w:rPr>
        <w:t xml:space="preserve">  </w:t>
      </w:r>
      <w:r>
        <w:rPr>
          <w:rFonts w:hint="eastAsia" w:ascii="Times New Roman" w:hAnsi="Times New Roman" w:cs="Times New Roman"/>
          <w:bCs/>
          <w:sz w:val="32"/>
          <w:szCs w:val="32"/>
          <w:lang w:val="en-US"/>
        </w:rPr>
        <w:t xml:space="preserve">                                                                     </w:t>
      </w:r>
    </w:p>
    <w:sectPr>
      <w:footerReference r:id="rId3" w:type="default"/>
      <w:pgSz w:w="11910" w:h="16840"/>
      <w:pgMar w:top="1500" w:right="1380" w:bottom="1500" w:left="1500" w:header="0" w:footer="131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文本框 1034" o:spid="_x0000_s4097" o:spt="202" type="#_x0000_t202" style="position:absolute;left:0pt;margin-left:291.05pt;margin-top:765.1pt;height:11pt;width:13.15pt;mso-position-horizontal-relative:page;mso-position-vertical-relative:page;z-index:-251657216;mso-width-relative:page;mso-height-relative:page;" filled="f" o:preferrelative="t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03" w:lineRule="exact"/>
                  <w:ind w:left="4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sz w:val="18"/>
                  </w:rP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440723"/>
    <w:multiLevelType w:val="multilevel"/>
    <w:tmpl w:val="0A440723"/>
    <w:lvl w:ilvl="0" w:tentative="0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C1E930D"/>
    <w:multiLevelType w:val="singleLevel"/>
    <w:tmpl w:val="4C1E930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C751CDB"/>
    <w:multiLevelType w:val="singleLevel"/>
    <w:tmpl w:val="5C751CDB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doNotDisplayPageBoundaries w:val="1"/>
  <w:bordersDoNotSurroundHeader w:val="0"/>
  <w:bordersDoNotSurroundFooter w:val="0"/>
  <w:doNotTrackMoves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dmMDJhMTJjNzMzMGNhOWM5MDE2MmFiMmZmYzMxNDMifQ=="/>
  </w:docVars>
  <w:rsids>
    <w:rsidRoot w:val="0045673D"/>
    <w:rsid w:val="00003747"/>
    <w:rsid w:val="00013E0E"/>
    <w:rsid w:val="00062A3C"/>
    <w:rsid w:val="001718D2"/>
    <w:rsid w:val="001E44FB"/>
    <w:rsid w:val="00222DE4"/>
    <w:rsid w:val="00231451"/>
    <w:rsid w:val="002A2DE1"/>
    <w:rsid w:val="002B608F"/>
    <w:rsid w:val="002F6F0E"/>
    <w:rsid w:val="0031488E"/>
    <w:rsid w:val="003777D7"/>
    <w:rsid w:val="0045673D"/>
    <w:rsid w:val="0049572C"/>
    <w:rsid w:val="004A03D1"/>
    <w:rsid w:val="004C6198"/>
    <w:rsid w:val="00670B2E"/>
    <w:rsid w:val="00691BA1"/>
    <w:rsid w:val="00705CA5"/>
    <w:rsid w:val="00735B41"/>
    <w:rsid w:val="00822EEC"/>
    <w:rsid w:val="00875523"/>
    <w:rsid w:val="0091074A"/>
    <w:rsid w:val="009376F7"/>
    <w:rsid w:val="009563E5"/>
    <w:rsid w:val="00A14B76"/>
    <w:rsid w:val="00A92166"/>
    <w:rsid w:val="00AC132F"/>
    <w:rsid w:val="00AE1143"/>
    <w:rsid w:val="00AE488A"/>
    <w:rsid w:val="00B010A0"/>
    <w:rsid w:val="00B125B7"/>
    <w:rsid w:val="00B23E29"/>
    <w:rsid w:val="00B37066"/>
    <w:rsid w:val="00C175DD"/>
    <w:rsid w:val="00C71947"/>
    <w:rsid w:val="00CB319C"/>
    <w:rsid w:val="00DA61AD"/>
    <w:rsid w:val="00ED35C1"/>
    <w:rsid w:val="00EE3056"/>
    <w:rsid w:val="00F56ACD"/>
    <w:rsid w:val="00F75220"/>
    <w:rsid w:val="00FD60D1"/>
    <w:rsid w:val="095567BF"/>
    <w:rsid w:val="0A0162EA"/>
    <w:rsid w:val="1DC51D0D"/>
    <w:rsid w:val="203D0DFD"/>
    <w:rsid w:val="21D70DF2"/>
    <w:rsid w:val="2866687F"/>
    <w:rsid w:val="29F02501"/>
    <w:rsid w:val="2B803A98"/>
    <w:rsid w:val="312726FE"/>
    <w:rsid w:val="33C80993"/>
    <w:rsid w:val="37796FED"/>
    <w:rsid w:val="430F518E"/>
    <w:rsid w:val="4A630034"/>
    <w:rsid w:val="4B633159"/>
    <w:rsid w:val="4C8E586B"/>
    <w:rsid w:val="53AE2320"/>
    <w:rsid w:val="5ACB1A0A"/>
    <w:rsid w:val="5BD92FA3"/>
    <w:rsid w:val="6CCA7D73"/>
    <w:rsid w:val="6CE5466E"/>
    <w:rsid w:val="700C561A"/>
    <w:rsid w:val="7B167881"/>
    <w:rsid w:val="7DEF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name="header"/>
    <w:lsdException w:qFormat="1"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4"/>
    <w:semiHidden/>
    <w:unhideWhenUsed/>
    <w:qFormat/>
    <w:uiPriority w:val="0"/>
    <w:rPr>
      <w:rFonts w:ascii="宋体" w:eastAsia="宋体"/>
      <w:sz w:val="18"/>
      <w:szCs w:val="18"/>
    </w:rPr>
  </w:style>
  <w:style w:type="paragraph" w:styleId="3">
    <w:name w:val="Body Text"/>
    <w:basedOn w:val="1"/>
    <w:link w:val="10"/>
    <w:qFormat/>
    <w:uiPriority w:val="1"/>
    <w:rPr>
      <w:sz w:val="30"/>
      <w:szCs w:val="30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</w:pPr>
    <w:rPr>
      <w:rFonts w:cs="Times New Roman"/>
      <w:sz w:val="24"/>
    </w:rPr>
  </w:style>
  <w:style w:type="character" w:customStyle="1" w:styleId="10">
    <w:name w:val="正文文本 Char"/>
    <w:link w:val="3"/>
    <w:qFormat/>
    <w:uiPriority w:val="1"/>
    <w:rPr>
      <w:rFonts w:ascii="仿宋" w:hAnsi="仿宋" w:eastAsia="仿宋" w:cs="仿宋"/>
      <w:kern w:val="0"/>
      <w:sz w:val="30"/>
      <w:szCs w:val="30"/>
      <w:lang w:val="zh-CN" w:bidi="zh-CN"/>
    </w:rPr>
  </w:style>
  <w:style w:type="character" w:customStyle="1" w:styleId="11">
    <w:name w:val="批注框文本 Char"/>
    <w:link w:val="4"/>
    <w:semiHidden/>
    <w:qFormat/>
    <w:uiPriority w:val="99"/>
    <w:rPr>
      <w:rFonts w:ascii="仿宋" w:hAnsi="仿宋" w:eastAsia="仿宋" w:cs="仿宋"/>
      <w:kern w:val="0"/>
      <w:sz w:val="18"/>
      <w:szCs w:val="18"/>
      <w:lang w:val="zh-CN" w:bidi="zh-CN"/>
    </w:rPr>
  </w:style>
  <w:style w:type="character" w:customStyle="1" w:styleId="12">
    <w:name w:val="页眉 Char"/>
    <w:link w:val="6"/>
    <w:semiHidden/>
    <w:qFormat/>
    <w:uiPriority w:val="99"/>
    <w:rPr>
      <w:rFonts w:ascii="仿宋" w:hAnsi="仿宋" w:eastAsia="仿宋" w:cs="仿宋"/>
      <w:kern w:val="0"/>
      <w:sz w:val="18"/>
      <w:szCs w:val="18"/>
      <w:lang w:val="zh-CN" w:bidi="zh-CN"/>
    </w:rPr>
  </w:style>
  <w:style w:type="character" w:customStyle="1" w:styleId="13">
    <w:name w:val="页脚 Char"/>
    <w:link w:val="5"/>
    <w:semiHidden/>
    <w:qFormat/>
    <w:uiPriority w:val="99"/>
    <w:rPr>
      <w:rFonts w:ascii="仿宋" w:hAnsi="仿宋" w:eastAsia="仿宋" w:cs="仿宋"/>
      <w:kern w:val="0"/>
      <w:sz w:val="18"/>
      <w:szCs w:val="18"/>
      <w:lang w:val="zh-CN" w:bidi="zh-CN"/>
    </w:rPr>
  </w:style>
  <w:style w:type="character" w:customStyle="1" w:styleId="14">
    <w:name w:val="文档结构图 Char"/>
    <w:link w:val="2"/>
    <w:semiHidden/>
    <w:qFormat/>
    <w:uiPriority w:val="0"/>
    <w:rPr>
      <w:rFonts w:ascii="宋体" w:hAnsi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310</Words>
  <Characters>1773</Characters>
  <Lines>14</Lines>
  <Paragraphs>4</Paragraphs>
  <TotalTime>0</TotalTime>
  <ScaleCrop>false</ScaleCrop>
  <LinksUpToDate>false</LinksUpToDate>
  <CharactersWithSpaces>2079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2022-04-07T03:19:00Z</dcterms:created>
  <dc:creator>陆琴美</dc:creator>
  <cp:lastModifiedBy>陆琴美</cp:lastModifiedBy>
  <dcterms:modified xsi:type="dcterms:W3CDTF">2024-04-07T00:44:29Z</dcterms:modified>
  <dc:title>南浔农商行2020年理财产品第三季度报告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543BB75B947B4A7DB8EFFE5376B4595B_12</vt:lpwstr>
  </property>
</Properties>
</file>